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6A70" w:rsidRPr="00177E09" w:rsidRDefault="00446A70" w:rsidP="00446A70">
      <w:pPr>
        <w:pStyle w:val="FormatvorlageBBeitragZentriert"/>
      </w:pPr>
      <w:bookmarkStart w:id="0" w:name="_vt4hx52uofqy" w:colFirst="0" w:colLast="0"/>
      <w:bookmarkEnd w:id="0"/>
      <w:r>
        <w:t>Digitales didaktisches Design:</w:t>
      </w:r>
      <w:r>
        <w:br/>
      </w:r>
      <w:r w:rsidRPr="009B3F71">
        <w:t>Empirische und theoretische Zugänge zur Gestaltung wissenschaftlicher Weiterbildungsformate am Beispiel eines Train-the-Trainer-Studienprogramms</w:t>
      </w:r>
    </w:p>
    <w:p w:rsidR="00446A70" w:rsidRDefault="00446A70" w:rsidP="00446A70"/>
    <w:p w:rsidR="00446A70" w:rsidRDefault="00446A70" w:rsidP="00446A70"/>
    <w:p w:rsidR="00446A70" w:rsidRDefault="00446A70" w:rsidP="00446A70">
      <w:pPr>
        <w:pStyle w:val="FormatvorlageBAutorZentriert"/>
      </w:pPr>
      <w:r>
        <w:t>Tobias Schmohl,</w:t>
      </w:r>
      <w:r w:rsidRPr="004F298B">
        <w:rPr>
          <w:vertAlign w:val="superscript"/>
        </w:rPr>
        <w:t>1</w:t>
      </w:r>
      <w:r>
        <w:t xml:space="preserve"> Nina Schmulius,</w:t>
      </w:r>
      <w:r w:rsidRPr="004F298B">
        <w:rPr>
          <w:vertAlign w:val="superscript"/>
        </w:rPr>
        <w:t>1</w:t>
      </w:r>
      <w:r>
        <w:t xml:space="preserve"> Thomas Bröker,</w:t>
      </w:r>
      <w:r w:rsidRPr="004F298B">
        <w:rPr>
          <w:vertAlign w:val="superscript"/>
        </w:rPr>
        <w:t>2</w:t>
      </w:r>
      <w:r>
        <w:t xml:space="preserve"> Sabrina Marquardt</w:t>
      </w:r>
      <w:r w:rsidRPr="004F298B">
        <w:rPr>
          <w:vertAlign w:val="superscript"/>
        </w:rPr>
        <w:t>1</w:t>
      </w:r>
    </w:p>
    <w:p w:rsidR="00446A70" w:rsidRDefault="00446A70" w:rsidP="00446A70"/>
    <w:p w:rsidR="00446A70" w:rsidRDefault="00446A70" w:rsidP="00446A70"/>
    <w:p w:rsidR="00446A70" w:rsidRDefault="00446A70" w:rsidP="00446A70">
      <w:pPr>
        <w:jc w:val="center"/>
      </w:pPr>
      <w:r w:rsidRPr="004F298B">
        <w:rPr>
          <w:vertAlign w:val="superscript"/>
        </w:rPr>
        <w:t>1</w:t>
      </w:r>
      <w:r>
        <w:t xml:space="preserve"> Technische Hochschule Ostwestfalen-Lippe</w:t>
      </w:r>
    </w:p>
    <w:p w:rsidR="00446A70" w:rsidRPr="004F298B" w:rsidRDefault="00446A70" w:rsidP="00446A70">
      <w:pPr>
        <w:jc w:val="center"/>
        <w:rPr>
          <w:vertAlign w:val="superscript"/>
        </w:rPr>
      </w:pPr>
      <w:r w:rsidRPr="004F298B">
        <w:rPr>
          <w:vertAlign w:val="superscript"/>
        </w:rPr>
        <w:t>2</w:t>
      </w:r>
      <w:r w:rsidRPr="004F298B">
        <w:t xml:space="preserve"> Technische Hochschule Nürnberg Georg Simon Ohm</w:t>
      </w:r>
    </w:p>
    <w:p w:rsidR="00446A70" w:rsidRDefault="00446A70" w:rsidP="00446A70"/>
    <w:p w:rsidR="00446A70" w:rsidRDefault="00446A70" w:rsidP="00446A70"/>
    <w:p w:rsidR="00446A70" w:rsidRPr="006809AE" w:rsidRDefault="00446A70" w:rsidP="00446A70">
      <w:pPr>
        <w:pStyle w:val="address"/>
      </w:pPr>
      <w:r>
        <w:rPr>
          <w:rStyle w:val="e-mail"/>
        </w:rPr>
        <w:t>tobias.schmohl@th-owl.de</w:t>
      </w:r>
    </w:p>
    <w:p w:rsidR="00446A70" w:rsidRPr="004F298B" w:rsidRDefault="00446A70" w:rsidP="00446A70">
      <w:pPr>
        <w:rPr>
          <w:lang w:val="en-GB"/>
        </w:rPr>
      </w:pPr>
    </w:p>
    <w:p w:rsidR="00446A70" w:rsidRPr="004F298B" w:rsidRDefault="00446A70" w:rsidP="00446A70">
      <w:pPr>
        <w:rPr>
          <w:lang w:val="en-GB"/>
        </w:rPr>
      </w:pPr>
    </w:p>
    <w:p w:rsidR="00446A70" w:rsidRPr="004F298B" w:rsidRDefault="00446A70" w:rsidP="00446A70">
      <w:pPr>
        <w:rPr>
          <w:i/>
          <w:lang w:val="en-GB"/>
        </w:rPr>
      </w:pPr>
      <w:r w:rsidRPr="004F298B">
        <w:rPr>
          <w:lang w:val="en-GB"/>
        </w:rPr>
        <w:t xml:space="preserve">Schlagwörter: </w:t>
      </w:r>
      <w:r w:rsidRPr="004F298B">
        <w:rPr>
          <w:i/>
          <w:lang w:val="en-GB"/>
        </w:rPr>
        <w:t>Digitale Transformation, Hochschulbildung, Gamification, community of practice.</w:t>
      </w:r>
    </w:p>
    <w:p w:rsidR="00446A70" w:rsidRDefault="00446A70" w:rsidP="00446A70">
      <w:pPr>
        <w:rPr>
          <w:lang w:val="en-GB"/>
        </w:rPr>
      </w:pPr>
    </w:p>
    <w:p w:rsidR="00446A70" w:rsidRPr="004F298B" w:rsidRDefault="00446A70" w:rsidP="00446A70">
      <w:pPr>
        <w:rPr>
          <w:lang w:val="en-GB"/>
        </w:rPr>
      </w:pPr>
    </w:p>
    <w:p w:rsidR="00446A70" w:rsidRPr="004F298B" w:rsidRDefault="00446A70" w:rsidP="00446A70">
      <w:pPr>
        <w:rPr>
          <w:lang w:val="en-GB"/>
        </w:rPr>
      </w:pPr>
    </w:p>
    <w:p w:rsidR="00446A70" w:rsidRDefault="00446A70" w:rsidP="00446A70">
      <w:pPr>
        <w:pStyle w:val="berschrift1"/>
      </w:pPr>
      <w:bookmarkStart w:id="1" w:name="_yh8x13yt1pd" w:colFirst="0" w:colLast="0"/>
      <w:bookmarkEnd w:id="1"/>
      <w:r>
        <w:t>Einleitung</w:t>
      </w:r>
    </w:p>
    <w:p w:rsidR="00446A70" w:rsidRDefault="00446A70" w:rsidP="00446A70"/>
    <w:p w:rsidR="00446A70" w:rsidRDefault="00446A70" w:rsidP="00446A70">
      <w:pPr>
        <w:pStyle w:val="Abs1"/>
      </w:pPr>
      <w:r>
        <w:t>Die Transformation zur digitalen Hochschule zeigt sich im aktuell zweiten Jahr der Covid-19-Pandemie als durchaus janusköpfig: Zum einen hat die notfallmäßige Umstellung von analoger auf digitale Lehre unter Hochgeschwindigkeit zwar so gut funktioniert, dass alle deutschen Hochschulen unterrichtsfähig blieben -- zum anderen ist vielerorts nur Notfalldigitalisierung betrieben worden (Hodges, Moore, Lockee, Trust &amp; Bond, 2020) und dadurch ein motivationales Tief bei Studierenden entstanden: Anstatt die digitalen Möglichkeiten zu explorieren und neue Lehrkonzepte zu erproben, wurde analoge Lehre schlichtweg in den digitalen Raum kopiert.</w:t>
      </w:r>
    </w:p>
    <w:p w:rsidR="00446A70" w:rsidRPr="00A30AAE" w:rsidRDefault="00446A70" w:rsidP="00446A70">
      <w:pPr>
        <w:pStyle w:val="AbsNorm"/>
        <w:rPr>
          <w:lang w:val="en-GB"/>
        </w:rPr>
      </w:pPr>
      <w:r>
        <w:t xml:space="preserve">Da die Pandemie zum Katalysator digitaler Lehre geworden ist, und sich ein "New Normal" nicht länger mehr rein analog denken lässt, bietet sich gerade für den wissenschaftlichen Weiterbildungssektor ein Blick in Branchen an, in denen die Digitalisierung bereits weiter vorangeschritten ist und deutlich besser implementiert wurde. Unter der Fragestellung, wie Hochschullehrenden eine bessere digitale Lehre gelingen kann und wie Hochschullehrende zu dieser Kompetenz befähigt werden können, erforscht das vom Bundesministerium für Bildung und Forschung geförderte Projekt </w:t>
      </w:r>
      <w:r>
        <w:rPr>
          <w:i/>
        </w:rPr>
        <w:t>Di²design</w:t>
      </w:r>
      <w:r>
        <w:t xml:space="preserve"> die Möglichkeiten, ob sich die Game-Industrie bildungswissenschaftlich als solcher Anknüpfungspunkt anbietet. </w:t>
      </w:r>
      <w:r w:rsidRPr="00A30AAE">
        <w:rPr>
          <w:lang w:val="en-GB"/>
        </w:rPr>
        <w:t>Denn: "Games have always been everywhere. This is increasingly so because of the expanding pervasiveness of games in contemporary culture, shift to post-industrial era and the general awakening to the importance of human motivation, creativity and empowerment in the context of today’s human pursuits” (Thibault &amp; Hamari, 2021).</w:t>
      </w:r>
    </w:p>
    <w:p w:rsidR="00446A70" w:rsidRDefault="00446A70" w:rsidP="00446A70">
      <w:pPr>
        <w:pStyle w:val="AbsNorm"/>
      </w:pPr>
      <w:r>
        <w:t>Der vorliegende Beitrag stellt daher die Frage, was und wie Hochschullehrende aus der Game-Industrie lernen können. Er stellt das Vorhaben eines Train the Trainer-Seminars vor, das Hochschullehrenden die Erfahrung bietet, ihre Lehrveranstaltungen aus einer neuen Perspektive wahrzunehmen und sie mithilfe von Spieldesign-Elementen motivierender zu gestalten. Dazu wird zunächst deskriptiv der Forschungsstand zum Lernen unter Bedingungen digitalisierter Hochschullehre referiert, um daraus Implikationen für die Didaktik abzuleiten. Auf dieser Grundlage wird ein exemplarisches Weiterbildungsformat referiert, das diese Implikationen aufgreift und sie derzeit in Form eines wissenschaftlichen Weiterbildungsprogramms für die Nationale Bildungsplattform des BMBF</w:t>
      </w:r>
      <w:r>
        <w:rPr>
          <w:b/>
        </w:rPr>
        <w:t xml:space="preserve"> </w:t>
      </w:r>
      <w:r>
        <w:t>umsetzt.</w:t>
      </w:r>
    </w:p>
    <w:p w:rsidR="00446A70" w:rsidRDefault="00446A70" w:rsidP="00446A70">
      <w:pPr>
        <w:pStyle w:val="AbsNorm"/>
        <w:ind w:firstLine="0"/>
      </w:pPr>
    </w:p>
    <w:p w:rsidR="00446A70" w:rsidRDefault="00446A70" w:rsidP="00446A70">
      <w:pPr>
        <w:pStyle w:val="Abs1"/>
      </w:pPr>
    </w:p>
    <w:p w:rsidR="00446A70" w:rsidRDefault="00446A70" w:rsidP="00446A70">
      <w:pPr>
        <w:pStyle w:val="berschrift1"/>
      </w:pPr>
      <w:bookmarkStart w:id="2" w:name="_q91cqwvia5gg" w:colFirst="0" w:colLast="0"/>
      <w:bookmarkEnd w:id="2"/>
      <w:r>
        <w:lastRenderedPageBreak/>
        <w:t xml:space="preserve">Studium unter Bedingungen der Notfalldigitalisierung </w:t>
      </w:r>
    </w:p>
    <w:p w:rsidR="00446A70" w:rsidRDefault="00446A70" w:rsidP="00446A70">
      <w:pPr>
        <w:pStyle w:val="Abs1"/>
      </w:pPr>
    </w:p>
    <w:p w:rsidR="00446A70" w:rsidRDefault="00446A70" w:rsidP="00446A70">
      <w:pPr>
        <w:pStyle w:val="Abs1"/>
      </w:pPr>
      <w:r>
        <w:t>Vom 5. Juli bis zum 24. September 2021 befragte das Meinungsinstitut Forsa 696 Studierende und 305 Auszubildende repräsentativ nach ihren Studien-, Lern- und Lebenssituationen in der Covid-19-Pandemie. Die Aussagen variieren von der Sorge, den Lernstoff nur verzögert nachholen zu können und dem Bangen um eine ungewisse Zukunft bis hin zu der Furcht vor Einsamkeit: Gerade der Lockdown hat vielen Studierenden die Möglichkeit genommen, mit ihrer Peer-Group in Kontakt treten oder sich mit Dozierenden austauschen zu können.</w:t>
      </w:r>
    </w:p>
    <w:p w:rsidR="00446A70" w:rsidRDefault="00446A70" w:rsidP="00446A70">
      <w:pPr>
        <w:pStyle w:val="AbsNorm"/>
      </w:pPr>
      <w:r>
        <w:t>Die Ergebnisse decken sich weitgehend mit den Analysen einer Online-Befragung, die im Sommersemester 2020 in Kooperation zwischen dem DZHW und der AG Hochschulforschung der Universität Konstanz durchgeführt wurde. Dabei wurden Angaben von 28.600 Studierenden unterschiedlicher Hochschultypen erfasst und Zusammenhänge zwischen Lehrformaten, Studiensituation, Teilnahme an Lehrveranstaltungen und Zufriedenheit mit dem erreichten Wissen und Können abgeleitet (Marczuk, Multrus &amp; Lörz, 2021). Hier zeigte sich besonders, dass die Studierenden einen erschwerten Kontakt zu Studierenden und Lehrenden erleben und trotz mancher als positiv bewerteten Aspekte des Online-Studiums insbesondere der Wissenserwerb im Rahmen eines digitalen Studiums als problematisch erfahren wird (ebd.).</w:t>
      </w:r>
    </w:p>
    <w:p w:rsidR="00446A70" w:rsidRDefault="00446A70" w:rsidP="00446A70">
      <w:pPr>
        <w:pStyle w:val="AbsNorm"/>
      </w:pPr>
      <w:r>
        <w:t>Aktuell liegen auch erste Ergebnisse empirischer Studien zu institutionellen Maßnahmen der Hochschulen vor (bspw. Zinger, Bröker, Lehmann, Haberkern &amp; Lipot, 2021). Darüber hinaus sind verschiedene Aspekte des Lernens unter Pandemiebedingungen empirisch erfasst worden, u.a. das digitale Lehrangebot an Hochschulen (Meißelbach &amp; Bochmann, 2020), Formen didaktischer Begleitung (Boros, Kiefel &amp; Schneijderberg, 2020) sowie Kompetenzanforderungen an Lehrende (Lörz, Marczuk, Zimmer, Multrus &amp; Buchholz, 2020).</w:t>
      </w:r>
    </w:p>
    <w:p w:rsidR="00446A70" w:rsidRDefault="00446A70" w:rsidP="00446A70">
      <w:pPr>
        <w:pStyle w:val="AbsNorm"/>
      </w:pPr>
      <w:r>
        <w:t>Die akademische sowie soziale Integration von Lernenden konnte bereits mehrfach als kritischer Faktor für Studienerfolg und Studienabschluss identifiziert werden (Dahm, Becker &amp; Bornkessel, 2018; Isleib &amp; Woisch, 2018; Röwert, Lah, Dahms, Berthold &amp; Stuckrad, 2017; Sarcletti &amp; Müller, 2011). Bosse und Trautwein (2014) konnten speziell für die Studieneingangsphase zeigen, dass neben Integrationsfaktoren die adäquate Anwendung von Selbstorganisations-, Lern- und Arbeitsstrategien kritische Faktoren für den Studienerfolg darstellen. Neben dem sozialen Kontext spielt somit der akademische Kontext eine entscheidende Rolle: Hier erhalten Metakompetenzen, wie etwa die Fähigkeit zu Kooperation und Teamarbeit zunehmendes Gewicht (Wissenschaftsrat, 2000, S. 12).</w:t>
      </w:r>
    </w:p>
    <w:p w:rsidR="00446A70" w:rsidRDefault="00446A70" w:rsidP="00446A70"/>
    <w:p w:rsidR="00446A70" w:rsidRDefault="00446A70" w:rsidP="00446A70"/>
    <w:p w:rsidR="00446A70" w:rsidRDefault="00446A70" w:rsidP="00446A70">
      <w:pPr>
        <w:pStyle w:val="berschrift1"/>
      </w:pPr>
      <w:bookmarkStart w:id="3" w:name="_1ibglvggqssl" w:colFirst="0" w:colLast="0"/>
      <w:bookmarkEnd w:id="3"/>
      <w:r>
        <w:t>Didaktische Implikationen</w:t>
      </w:r>
      <w:bookmarkStart w:id="4" w:name="_8vccdelgyzhl" w:colFirst="0" w:colLast="0"/>
      <w:bookmarkEnd w:id="4"/>
    </w:p>
    <w:p w:rsidR="00446A70" w:rsidRPr="00177E09" w:rsidRDefault="00446A70" w:rsidP="00446A70">
      <w:pPr>
        <w:pStyle w:val="Abs1"/>
      </w:pPr>
    </w:p>
    <w:p w:rsidR="00446A70" w:rsidRDefault="00446A70" w:rsidP="00446A70">
      <w:pPr>
        <w:pStyle w:val="Abs1"/>
      </w:pPr>
      <w:r>
        <w:t xml:space="preserve">Aus den bisherigen Forschungsergebnissen ergibt sich im Gesamtbild eine deutlich veränderte Studiensituation bei (nahezu) vollständiger Umstellung auf digitale Formen. Aus Perspektive der Hochschuldidaktik schließen sich verschiedene Fragestellungen an, die für die wissenschaftliche Weiterbildung relevant sind, etwa: </w:t>
      </w:r>
    </w:p>
    <w:p w:rsidR="00446A70" w:rsidRPr="00177E09" w:rsidRDefault="00446A70" w:rsidP="00446A70">
      <w:pPr>
        <w:pStyle w:val="AbsNorm"/>
      </w:pPr>
    </w:p>
    <w:p w:rsidR="00446A70" w:rsidRDefault="00446A70" w:rsidP="00446A70">
      <w:pPr>
        <w:pStyle w:val="AufzPunkt"/>
      </w:pPr>
      <w:r>
        <w:t xml:space="preserve">die Frage nach Konzepten für eine bessere digitale Lehre, die motiviert und effektiv zum Erreichen der jeweiligen Lernziele beiträgt; </w:t>
      </w:r>
    </w:p>
    <w:p w:rsidR="00446A70" w:rsidRDefault="00446A70" w:rsidP="00446A70">
      <w:pPr>
        <w:pStyle w:val="AufzPunkt"/>
      </w:pPr>
      <w:r>
        <w:t>die Frage, wie kooperatives Lernen im digitalen Raum entstehen und gefördert werden kann, um die soziale Eingebundenheit der Zielgruppe zu verbessern (die ihrerseits eine wichtige Voraussetzung für erfolgreiches Lernen ist; Schneider &amp; Preckel, 2017).</w:t>
      </w:r>
      <w:r>
        <w:rPr>
          <w:vertAlign w:val="superscript"/>
        </w:rPr>
        <w:footnoteReference w:id="1"/>
      </w:r>
      <w:r>
        <w:t xml:space="preserve"> </w:t>
      </w:r>
    </w:p>
    <w:p w:rsidR="00446A70" w:rsidRDefault="00446A70" w:rsidP="00446A70">
      <w:pPr>
        <w:pStyle w:val="Abs1"/>
      </w:pPr>
    </w:p>
    <w:p w:rsidR="00446A70" w:rsidRDefault="00446A70" w:rsidP="00446A70">
      <w:pPr>
        <w:pStyle w:val="Abs1"/>
      </w:pPr>
      <w:r>
        <w:t>Um diese Fragen sinnvoll zu beantworten, ist zunächst ein Blick auf den aktuellen Stand der wissenschaftlichen Diskussion zur Digitalisierung der Hochschulbildung notwendig.</w:t>
      </w:r>
    </w:p>
    <w:p w:rsidR="00446A70" w:rsidRDefault="00446A70" w:rsidP="00446A70">
      <w:pPr>
        <w:pStyle w:val="Abs1"/>
      </w:pPr>
    </w:p>
    <w:p w:rsidR="00446A70" w:rsidRDefault="00446A70" w:rsidP="00446A70">
      <w:pPr>
        <w:pStyle w:val="berschrift2"/>
      </w:pPr>
      <w:bookmarkStart w:id="5" w:name="_m6ef106l7lb3" w:colFirst="0" w:colLast="0"/>
      <w:bookmarkEnd w:id="5"/>
      <w:r>
        <w:t xml:space="preserve">Hochschullehre in einer Kultur der Digitalität </w:t>
      </w:r>
    </w:p>
    <w:p w:rsidR="00446A70" w:rsidRDefault="00446A70" w:rsidP="00446A70">
      <w:pPr>
        <w:pStyle w:val="Abs1"/>
      </w:pPr>
    </w:p>
    <w:p w:rsidR="00446A70" w:rsidRDefault="00446A70" w:rsidP="00446A70">
      <w:pPr>
        <w:pStyle w:val="Abs1"/>
      </w:pPr>
      <w:r>
        <w:t xml:space="preserve">Digitalisierung bedeutet allgemein "die Übersetzung analoger Werte in digitale Formate" (Baecker, 2021, S. 1). Im Kontext von Hochschulbildung wird dieses Schlagwort in unterschiedlichen Facetten gebraucht: </w:t>
      </w:r>
    </w:p>
    <w:p w:rsidR="00446A70" w:rsidRPr="00177E09" w:rsidRDefault="00446A70" w:rsidP="00446A70">
      <w:pPr>
        <w:pStyle w:val="AbsNorm"/>
      </w:pPr>
    </w:p>
    <w:p w:rsidR="00446A70" w:rsidRDefault="00446A70" w:rsidP="00446A70">
      <w:pPr>
        <w:pStyle w:val="AufzNum"/>
      </w:pPr>
      <w:r>
        <w:t xml:space="preserve">im Bereich der </w:t>
      </w:r>
      <w:r>
        <w:rPr>
          <w:i/>
        </w:rPr>
        <w:t xml:space="preserve">didaktischen Interaktionsplanung </w:t>
      </w:r>
      <w:r>
        <w:t>findet es sich in Gestalt von Aktionsfeldern und Supportstrukturen wieder,</w:t>
      </w:r>
    </w:p>
    <w:p w:rsidR="00446A70" w:rsidRDefault="00446A70" w:rsidP="00446A70">
      <w:pPr>
        <w:pStyle w:val="AufzNum"/>
      </w:pPr>
      <w:r>
        <w:rPr>
          <w:i/>
        </w:rPr>
        <w:t>curricular</w:t>
      </w:r>
      <w:r>
        <w:t xml:space="preserve"> wird es durch Formen des multimedialen Lernens, E-Learning oder Blended Learning aufgegriffen und </w:t>
      </w:r>
    </w:p>
    <w:p w:rsidR="00446A70" w:rsidRDefault="00446A70" w:rsidP="00446A70">
      <w:pPr>
        <w:pStyle w:val="AufzNum"/>
      </w:pPr>
      <w:r>
        <w:rPr>
          <w:i/>
        </w:rPr>
        <w:t>institutionell</w:t>
      </w:r>
      <w:r>
        <w:t xml:space="preserve"> ist es in Leitbildern und Hochschulentwicklungsplänen festgeschrieben.</w:t>
      </w:r>
    </w:p>
    <w:p w:rsidR="00446A70" w:rsidRDefault="00446A70" w:rsidP="00446A70">
      <w:pPr>
        <w:pStyle w:val="Abs1"/>
      </w:pPr>
    </w:p>
    <w:p w:rsidR="00446A70" w:rsidRDefault="00446A70" w:rsidP="00446A70">
      <w:pPr>
        <w:pStyle w:val="Abs1"/>
      </w:pPr>
      <w:r>
        <w:t xml:space="preserve">Im Folgenden werden diese drei Facetten schlaglichtartig im Sinne einer kritischen Bestandsaufnahme des </w:t>
      </w:r>
      <w:r>
        <w:rPr>
          <w:i/>
        </w:rPr>
        <w:t>status quo</w:t>
      </w:r>
      <w:r>
        <w:t xml:space="preserve"> akademischen Lehrens und Lernens reflektiert und im Hinblick auf ihr Potenzial für die akademische Weiterbildung hinterfragt.</w:t>
      </w:r>
    </w:p>
    <w:p w:rsidR="00446A70" w:rsidRDefault="00446A70" w:rsidP="00446A70">
      <w:pPr>
        <w:pStyle w:val="AbsNorm"/>
      </w:pPr>
      <w:r>
        <w:t>Wir gehen dabei von der These aus, dass die Digitalisierung der Hochschulbildung im Hinblick auf die Interaktionsformen des Lernens längst abgeschlossen ist -- zumindest, wenn man den oben skizzierten Digitalisierungs-Begriff zugrunde legt. Denn das hochschulische Lernen ist heute sowohl in den Räumen einer sogenannten Präsenzlehre als auch in ihren virtuellen Entsprechungen von vielfältigen und in ihrer technologischen Entwicklung ausgereiften digitalen Interaktions- und Kommunikationsformen geprägt (Brandhofer et al., 2019; Metzner et al., 2019): Studierende tauschen sich zunehmend in non-formalen medialen Bildungsräumen während den Veranstaltungen simultan mit eigenen Endgeräten über die Inhalte aus, schlagen gegebenenfalls deklarative Wissensbestände in Online-Enzyklopädien nach oder recherchieren in offenen Bildungsressourcen (OER) ergänzende Inhalte (Schön, Ebner, Schön &amp; Haas, 2017). Die Praxis der Hochschulbildung ist also bereits hochgradig digitalisiert. Oder, wie Wampfler (2020) es kürzlich auf den Punkt brachte: "Die Auswirkungen der Entwicklung sind noch nicht absehbar. Aber die eigentliche Entwicklung ist abgeschlossen."</w:t>
      </w:r>
    </w:p>
    <w:p w:rsidR="00446A70" w:rsidRDefault="00446A70" w:rsidP="00446A70">
      <w:pPr>
        <w:pStyle w:val="AbsNorm"/>
      </w:pPr>
      <w:r>
        <w:t>Im Anschluss an diese These werden im Folgenden didaktische, curriculare und institutionelle Formen diskutiert, die eine Hochschulbildung unter den Bedingungen einer 'Kultur der Digitalität' kennzeichnen.</w:t>
      </w:r>
    </w:p>
    <w:p w:rsidR="00446A70" w:rsidRDefault="00446A70" w:rsidP="00446A70">
      <w:pPr>
        <w:pStyle w:val="AbsNorm"/>
      </w:pPr>
    </w:p>
    <w:p w:rsidR="00446A70" w:rsidRDefault="00446A70" w:rsidP="00446A70">
      <w:pPr>
        <w:pStyle w:val="berschrift2"/>
      </w:pPr>
      <w:bookmarkStart w:id="6" w:name="_iice4c5d8k95" w:colFirst="0" w:colLast="0"/>
      <w:bookmarkEnd w:id="6"/>
      <w:r>
        <w:t>Status quo einer digitalisierten Hochschullehre</w:t>
      </w:r>
    </w:p>
    <w:p w:rsidR="00446A70" w:rsidRDefault="00446A70" w:rsidP="00446A70">
      <w:pPr>
        <w:pStyle w:val="Abs1"/>
      </w:pPr>
    </w:p>
    <w:p w:rsidR="00446A70" w:rsidRDefault="00446A70" w:rsidP="00446A70">
      <w:pPr>
        <w:pStyle w:val="Abs1"/>
      </w:pPr>
      <w:r>
        <w:t xml:space="preserve">Eine basale Form des Technologieeinsatzes im </w:t>
      </w:r>
      <w:r>
        <w:rPr>
          <w:b/>
        </w:rPr>
        <w:t>(1)</w:t>
      </w:r>
      <w:r>
        <w:t xml:space="preserve"> didaktischen Kontext besteht darin, analoge Bildungsräume anhand elektronischer Technologien zu erweitern (bspw. durch Hardware wie Smartboards, Tablets, Abstimmungs-Systeme, aber auch durch Software wie digitale Interaktions- und Kollaborationstools: Etherpads, Wikis, Blogs etc.). Die technologische Augmentierung von Didaktik (im Sinne einer Ausweitung des Einsatzes digitaler Technologien; vgl. Stalder, 2018, S. 8) geht jedoch bislang nur ansatzweise mit neuen Handlungsformen einher (Schön et al., 2017). Auch die zugrunde liegenden Rollenkonzepte, didaktischen Haltungen oder epistemischen Überzeugungen von Hochschullehrenden haben sich durch die zunehmende Verfügbarkeit digitaler Lerninstrumente kaum verändert (Gruber, Harteis, Hasanbegovic &amp; Lehner, 2007). Symptome dieser Entwicklung sind die Diskussion um einen "Mehrwert" digitaler Medien in didaktischen Kontexten (Krommer, 2018) oder den "Leitmedienwechsel" </w:t>
      </w:r>
      <w:r>
        <w:lastRenderedPageBreak/>
        <w:t>(ein Begriff, der die disruptive Qualität der Digitalisierung verharmlost,</w:t>
      </w:r>
      <w:r>
        <w:rPr>
          <w:vertAlign w:val="superscript"/>
        </w:rPr>
        <w:footnoteReference w:id="2"/>
      </w:r>
      <w:r>
        <w:t xml:space="preserve"> sofern damit ein "Übergang" von einem Medium in ein anderes impliziert wird; vgl. Brandhofer, 2016).</w:t>
      </w:r>
    </w:p>
    <w:p w:rsidR="00446A70" w:rsidRDefault="00446A70" w:rsidP="00446A70">
      <w:pPr>
        <w:pStyle w:val="AbsNorm"/>
      </w:pPr>
      <w:r>
        <w:t xml:space="preserve">Im </w:t>
      </w:r>
      <w:r>
        <w:rPr>
          <w:b/>
        </w:rPr>
        <w:t>(2)</w:t>
      </w:r>
      <w:r>
        <w:t xml:space="preserve"> curricularen Kontext wird die sogenannte "digitale Transformation" (Harwardt, 2019, S. 14) der Hochschulbildung überwiegend auf die Nutzung des Internets als einem "Katalysator und Produkt der Digitalisierung" (Gloerfeld, 2020, S. 2) bezogen und derzeit vorrangig unter dem Kennzeichen der pandemiebedingten Notfalldigitalisierung (</w:t>
      </w:r>
      <w:r>
        <w:rPr>
          <w:i/>
        </w:rPr>
        <w:t>emergency remote teaching</w:t>
      </w:r>
      <w:r>
        <w:t>) diskutiert (Hodges et al., 2020): Didaktische Muster und Lernmaterialien wurden hier lediglich in virtuelle Lernräume übertragen, ohne die Besonderheiten digitaler Lerngelegenheiten und die damit verknüpften curricularen Anforderungen angemessen zu berücksichtigen (Zinger et al., 2021). Oft sind die resultierenden didaktischen Settings mithin nicht mehr als eine schwache Kopie bestehender Lerngelegenheiten aus der Präsenzlehre, die weit hinter den "Entwicklungspotenziale[n] [...] der kommunikativen und medienvermittelten Prozesse des Lehrens und Lernens" (Gloerfeld, 2020, S. XXIII) zurück bleiben. Aber auch als E-Learning-Curricula konzipierte Studienprogramme bleiben vielfach in den Pfadabhängigkeiten einer analogen Lehre verhaftet. So werden die Interaktions-, Kollaborations- und Kommunikationsformen solcher Programme oft weiterhin über Learning-Management-Systeme betrieben und die zugehörigen Lernarrangements an deren zentralistischen Organisationsformen ausgerichtet, anstelle den neuen Möglichkeiten eines dynamisch-vernetzten Lernens Rechnung zu tragen.</w:t>
      </w:r>
    </w:p>
    <w:p w:rsidR="00446A70" w:rsidRDefault="00446A70" w:rsidP="00446A70">
      <w:pPr>
        <w:pStyle w:val="AbsNorm"/>
      </w:pPr>
      <w:r>
        <w:t xml:space="preserve">Vor diesem Hintergrund wird in Expert*innenkreisen der </w:t>
      </w:r>
      <w:r>
        <w:rPr>
          <w:i/>
        </w:rPr>
        <w:t>Educational-Technology</w:t>
      </w:r>
      <w:r>
        <w:t xml:space="preserve">-Szene für den </w:t>
      </w:r>
      <w:r>
        <w:rPr>
          <w:b/>
        </w:rPr>
        <w:t>(3)</w:t>
      </w:r>
      <w:r>
        <w:t xml:space="preserve"> institutionellen Kontext aktuell u.a. eine grundlegende „Neuorientierung bei der Evaluation und Akkreditierung von Studienangeboten“ gefordert, „die Lernergebnisse noch stärker in den Mittelpunkt stellt und technologiegestütztes Lernen anerkennt“ (EdTech-Charta, 2021). In diesem Zusammenhang werden insbesondere Differenzen im "Kultur- und Zielverständnis" der beteiligten Akteure bemängelt und fehlende Experimentierräume beklagt (ebd.). Insbesondere, was die Anforderungen einer "transdisziplinären Didaktik" anbelangt (Schmohl &amp; Philipp, 2021), gilt es darüber hinaus, institutionelle Brücken zu schlagen und die "Öffnung" der Hochschule gegenüber nicht-wissenschaftlichen Akteur:innen voranzutreiben.</w:t>
      </w:r>
    </w:p>
    <w:p w:rsidR="00446A70" w:rsidRDefault="00446A70" w:rsidP="00446A70">
      <w:pPr>
        <w:pStyle w:val="AbsNorm"/>
      </w:pPr>
      <w:r>
        <w:t xml:space="preserve">Für die Entwicklung und Durchführung von Weiterbildungsangeboten im Hochschulkontext zielen Antworten auf die oben skizzierten Fragen (s. Abschn. </w:t>
      </w:r>
      <w:r w:rsidRPr="00177E09">
        <w:t>3.1</w:t>
      </w:r>
      <w:r>
        <w:t>) mithin weniger auf technologische Aspekte ab, sondern auf epistemologische und organisatorische Aspekte der Gestaltung und Begleitung digital augmentierten Formen des Lernens (Schmohl, 2021; Stalder, 2018, S. 15).</w:t>
      </w:r>
    </w:p>
    <w:p w:rsidR="00446A70" w:rsidRDefault="00446A70" w:rsidP="00446A70"/>
    <w:p w:rsidR="00446A70" w:rsidRDefault="00446A70" w:rsidP="00446A70">
      <w:pPr>
        <w:pStyle w:val="berschrift2"/>
      </w:pPr>
      <w:bookmarkStart w:id="7" w:name="_h746obxkklxl" w:colFirst="0" w:colLast="0"/>
      <w:bookmarkEnd w:id="7"/>
      <w:r>
        <w:t>Folgerungen für die Gestaltung von Weiterbildung im Kontext von Hochschullehre</w:t>
      </w:r>
    </w:p>
    <w:p w:rsidR="00446A70" w:rsidRDefault="00446A70" w:rsidP="00446A70">
      <w:pPr>
        <w:pStyle w:val="Abs1"/>
      </w:pPr>
    </w:p>
    <w:p w:rsidR="00446A70" w:rsidRDefault="00446A70" w:rsidP="00446A70">
      <w:pPr>
        <w:pStyle w:val="Abs1"/>
      </w:pPr>
      <w:r>
        <w:t xml:space="preserve">Auf Ebene der </w:t>
      </w:r>
      <w:r>
        <w:rPr>
          <w:b/>
        </w:rPr>
        <w:t>(1)</w:t>
      </w:r>
      <w:r>
        <w:t xml:space="preserve"> didaktischen Interaktionsplanung sind technologische Lösungen grundsätzlich nicht instrumentell als Mittel für spezifische Problembearbeitungen zu verstehen. Stattdessen sind sie als generalisierte Funktionen der Vernetzung und Beziehungsgestaltung von Lernenden aufzufassen. Bisherige Lösungen orientieren sich an den hierarchischen Überlegungen und den Gewohnheiten des Vor-Ort-Lernens. Sie sollten jedoch als Bestandteile eines vernetzten und vernetzenden Gesamtsystems des Lehrens und Lernens begriffen werden: Jede technologische Lösung sollte daher darauf geprüft werden, ob sie in der Lage ist, sich in dieses System einzufügen (vgl. Tenorth, 2019).</w:t>
      </w:r>
    </w:p>
    <w:p w:rsidR="00446A70" w:rsidRDefault="00446A70" w:rsidP="00446A70">
      <w:pPr>
        <w:pStyle w:val="AbsNorm"/>
      </w:pPr>
      <w:r>
        <w:t>Damit die Akteur:innen der Hochschulen technische Lösungen aus dieser veränderten Perspektive bewerten, müssen sich auch deren Haltungen und Überzeugungen verändern. Dieser kulturelle Veränderungsprozess steckt jedoch noch in den Anfängen (vgl. Schmohl, 2019).</w:t>
      </w:r>
    </w:p>
    <w:p w:rsidR="00446A70" w:rsidRDefault="00446A70" w:rsidP="00446A70">
      <w:pPr>
        <w:pStyle w:val="AbsNorm"/>
      </w:pPr>
      <w:r>
        <w:t xml:space="preserve">Die Maßnahmen, die eine </w:t>
      </w:r>
      <w:r>
        <w:rPr>
          <w:b/>
        </w:rPr>
        <w:t xml:space="preserve">(2) </w:t>
      </w:r>
      <w:r>
        <w:t xml:space="preserve">curriculare Gestaltung von Weiterbildung im Hochschulkontext leisten müsste, können (mit Bezug auf den internationalen Diskurs zum Thema) zusammenfassend mit dem Konzept eines "scaffolding process" umschrieben werden (Doo, Bonk &amp; Heo, 2020). Damit wird ein lernunterstützender didaktischer Förderrahmen umschrieben, der die individuelle Problemlösefähigkeit </w:t>
      </w:r>
      <w:r>
        <w:lastRenderedPageBreak/>
        <w:t>und Kompetenzentwicklung unterstützt (Wood, Bruner &amp; Ross, 1976, S. 90): "Scaffolding is [...] a design to provide support for students but only enough to allow the student to complete the task alone" (Benson, 1997, S. 126). Der Begriff wird heute sowohl im Kontext formaler als auch informeller Bildung gebraucht (“scaffolding incorporated in formalized activities” vs. “informal scaffolding”; vgl. bspw. Pea, 2004, S. 429). Häufig wird auch zwischen sozialen und technologischen Ausprägungen des “scaffolding” unterschieden (ebd.).</w:t>
      </w:r>
    </w:p>
    <w:p w:rsidR="00446A70" w:rsidRDefault="00446A70" w:rsidP="00446A70">
      <w:pPr>
        <w:pStyle w:val="AbsNorm"/>
      </w:pPr>
      <w:r>
        <w:t xml:space="preserve">Die digitale Transformation ermöglicht die Demokratisierung sowohl der Zugänge zu Wissen als auch der Lernpfade, auf denen Wissen aufgebaut wird. Der Institution Hochschule </w:t>
      </w:r>
      <w:r>
        <w:rPr>
          <w:b/>
        </w:rPr>
        <w:t>(3)</w:t>
      </w:r>
      <w:r>
        <w:t xml:space="preserve"> kommt vor diesem Hintergrund die Aufgabe zu, Lehrende und Lernende als Akteur:innen der Wissensarbeit miteinander in Beziehung zu setzen. Dabei gilt es, Lerngemeinschaften zu konstituieren, die eine niveau- und kontextübergreifende Zusammenarbeit ermöglichen. Außerdem wird es notwendig, tradierte disziplinäre Ordnungen und institutionelle Grenzen zu überwinden, um Partizipation und Bildungsgerechtigkeit zu fördern (Schmohl &amp; Philipp, 2021; Zinger &amp; Bröker, 2020). In den Hochschulen vernetzen sich bislang allerdings eher Expert:innen aus singulären Arbeitsbereichen, wie den Rechen- oder Didaktikzentren. Hier fehlen jedoch meist technologische Lösungen für den hochschulübergreifenden Austausch von Erfahrungen -- unter anderem, da die technologischen Infrastrukturen in der Regel nach Außen hin abgeschottet sind. Ebenso sind hochschulübergreifende Kooperationen von Lehrenden selten -- unter anderem, da die Deputatsregelungen nicht ausreichend Freiräume für solche "Lehrexporte" lassen.</w:t>
      </w:r>
      <w:r>
        <w:rPr>
          <w:vertAlign w:val="superscript"/>
        </w:rPr>
        <w:footnoteReference w:id="3"/>
      </w:r>
      <w:r>
        <w:t xml:space="preserve"> </w:t>
      </w:r>
    </w:p>
    <w:p w:rsidR="00446A70" w:rsidRDefault="00446A70" w:rsidP="00446A70">
      <w:pPr>
        <w:pStyle w:val="AbsNorm"/>
        <w:rPr>
          <w:highlight w:val="yellow"/>
        </w:rPr>
      </w:pPr>
      <w:r>
        <w:t xml:space="preserve">Mit dem Portal </w:t>
      </w:r>
      <w:r>
        <w:rPr>
          <w:i/>
        </w:rPr>
        <w:t>e-teaching.org</w:t>
      </w:r>
      <w:r>
        <w:t xml:space="preserve"> des Leibniz Instituts für Wissensmedien (IWM) ist 2003 eine erste Initiative gegründet worden, um einen institutionenübergreifenden und weitgehend überfachlichen Diskurs zur Hochschulbildung deutschlandweit in Gang zu setzen. Sie wurde 2014 um das Hochschulforum Digitalisierung (HFD) ergänzt. Gemeinsam ist diesen beiden Initiativen der Ansatz, einen interdisziplinären Austausch zur digitalen Hochschulbildung zu fördern, zur offenen Vernetzung anzuregen und für diesen Prozess digitale Austauschflächen bereitzustellen. Eine neue Dynamik könnte in diesem Bereich durch das politische Programm der zukünftigen Bundesregierung entstehen. Sie setzt auf ein Kooperationsgebot zwischen Bund und Ländern in der Bildungszusammenarbeit (SPD, Bündnis 90/Die Grünen und FDP, 2021, S. 94). Das könnte auch die über-institutionelle Vernetzung weiter fördern und unterstützen.</w:t>
      </w:r>
    </w:p>
    <w:p w:rsidR="00446A70" w:rsidRDefault="00446A70" w:rsidP="00446A70"/>
    <w:p w:rsidR="00446A70" w:rsidRDefault="00446A70" w:rsidP="00446A70"/>
    <w:p w:rsidR="00446A70" w:rsidRDefault="00446A70" w:rsidP="00446A70">
      <w:pPr>
        <w:pStyle w:val="berschrift1"/>
      </w:pPr>
      <w:bookmarkStart w:id="8" w:name="_tsgwpc10l114" w:colFirst="0" w:colLast="0"/>
      <w:bookmarkEnd w:id="8"/>
      <w:r>
        <w:t>Anwendungsbeispiel: Gestaltung eines wissenschaftlichen Weiterbildungsprogramms (</w:t>
      </w:r>
      <w:r>
        <w:rPr>
          <w:i/>
        </w:rPr>
        <w:t>Di²design</w:t>
      </w:r>
      <w:r>
        <w:t>) für die Nationale Bildungsplattform des BMBF</w:t>
      </w:r>
    </w:p>
    <w:p w:rsidR="00446A70" w:rsidRDefault="00446A70" w:rsidP="00446A70">
      <w:pPr>
        <w:pStyle w:val="Abs1"/>
      </w:pPr>
    </w:p>
    <w:p w:rsidR="00446A70" w:rsidRDefault="00446A70" w:rsidP="00446A70">
      <w:pPr>
        <w:pStyle w:val="Abs1"/>
      </w:pPr>
      <w:r>
        <w:t xml:space="preserve">Die Grundfragen nach didaktischen Motivationsfaktoren, sozialer Integration und Metakompetenzen bilden den Ausgangspunkt des Projekts Di²design, das Hochschullehrende unterstützt, didaktische Situationen im digitalen Raum so zu gestalten, dass sie Kooperation fördern. Di²design entwickelt dazu ein Curriculum für die </w:t>
      </w:r>
      <w:r>
        <w:rPr>
          <w:i/>
        </w:rPr>
        <w:t>Nationale Bildungsplattform (NBP)</w:t>
      </w:r>
      <w:r>
        <w:t xml:space="preserve"> des Bundesministeriums für Bildung und Forschung, das unter anderem mit der Durchführung von Train-the-Trainer-Seminaren auf kooperatives Lernen von Hochschullehrenden setzt und mithilfe von Spieldesign-Elementen zum Lernen motiviert. Dabei greifen wir heuristisch auf das Digital Competence Framework "DigComp 2.0" der Europäischen Kommission zurück, das für den akademischen Weiterbildungskontext adaptiert wird (Vuorikari R, Punie Y, Carretero Gomez S, &amp; Van Den Brande G, 2016).</w:t>
      </w:r>
    </w:p>
    <w:p w:rsidR="00446A70" w:rsidRDefault="00446A70" w:rsidP="00446A70">
      <w:pPr>
        <w:pStyle w:val="AbsNorm"/>
      </w:pPr>
      <w:r>
        <w:t xml:space="preserve">Bislang wurden in über 30 Fachbeiträgen Gestaltungsprinzipien für Gamification vorgeschlagen (Krath &amp; Korflesch, 2021). Grundlage für die Train-the-Trainer-Seminare bildet neben den Ergebnissen aus diesen Fachbeiträgen die Vorarbeit eines Projekts der Technischen Hochschule Nürnberg (THN) zur </w:t>
      </w:r>
      <w:r>
        <w:rPr>
          <w:i/>
        </w:rPr>
        <w:t>Empirischen Analyse motivierender Spielelemente (EMPAMOS)</w:t>
      </w:r>
      <w:r>
        <w:t>: Gemeinsam mit dem Deutschen Spielearchiv Nürnberg hat die THN dabei über 3000 Spiele auf wiederkehrende Muster und Spieldesign-</w:t>
      </w:r>
      <w:r>
        <w:lastRenderedPageBreak/>
        <w:t>Elemente untersucht, um die kleinsten Elemente zu definieren, die Spiele motivierend machen. Darauf aufbauend wurde eine analoge Toolbox, ein methodisches Vorgehen und eine WebApp entwickelt, um spielfremde Kontexte motivierender (aber nicht zwingend spielerisch) zu gestalten. Mithilfe von künstlicher Intelligenz unterstützt die WebApp den kreativen Gesamtprozess (Bröker, Voit &amp; Zinger, 2022). Seit einem Jahr wird dieses Gesamtkonzept in einem Arbeitskreis von Hochschullehrenden und Studierenden eingesetzt, um Lehr-und Lernsettings zu optimieren (vgl. Bröker, Voit and Zinger, 2021). Ziel von Di²design ist es nun, diese Elemente auf kooperative Szenarien auszurichten und an bildungstheoretische Konzepte rückzubinden, um damit eine validierte Grundlage zum Einsatz der Spielelemente in der Hochschuldidaktik zu schaffen.</w:t>
      </w:r>
    </w:p>
    <w:p w:rsidR="00446A70" w:rsidRDefault="00446A70" w:rsidP="00446A70">
      <w:pPr>
        <w:pStyle w:val="AbsNorm"/>
      </w:pPr>
      <w:r>
        <w:t>Das Projekt richtet sich daher an Lehrende, die bestehende didaktische Konzepte weiterentwickeln möchten und an einem bildungswissenschaftlich informierten Austausch über ihre Lehrstrategien interessiert sind. Ermöglicht wird dies über das Angebot einer Toolbox zur adaptiven Gestaltung von Lernräumen. Die Lehrenden werden bei der Analyse sogenannter „motivationaler Misfits“ in ihren jeweiligen Lehrkonzeptionen unterstützt und in der explorativen Erarbeitung konzeptioneller Alternativen anhand handlungsleitender Didaktik-Designelemente kollegial begleitet. Die Teilnehmenden der Weiterbildung lernen also zunächst, sich selbst als Designer*innen ihrer Didaktik im Prozess des digitalen Lernens zu verstehen (vgl. Kali &amp; McKenney &amp; Sagy 2015) und ihre Konzeptionen vor dem Hintergrund des empirischen Stands der Design-Elemente kritisch zu analysieren. Sie betrachten dazu die eigene Lehre zunächst als ein 'kaputtes Spiel', das anhand der digitalen Spieldesign-Elemente aus Di²design repariert werden kann. Die gestalterische Anpassung der didaktischen Konzeptionen wird über die Einbindung in die NBP in einem community-basierten Wissensaustausch gemeinsam mit Peers reflektiert und durch eine kollegiale Beratung flankiert. Indem die Teilnehmenden ihre digitalen Lernsettings ausgestalten und die dahinter stehenden Überlegungen kritisch reflektieren, entwickeln sie ihre didaktischen Kompetenzen auf unterschiedlichen Ebenen weiter (vgl. Carey, 1993; Chen et al., 2020).</w:t>
      </w:r>
    </w:p>
    <w:p w:rsidR="00446A70" w:rsidRDefault="00446A70" w:rsidP="00446A70">
      <w:pPr>
        <w:pStyle w:val="AbsNorm"/>
      </w:pPr>
      <w:r>
        <w:t>Die Teilnehmenden dieser Weiterbildung tragen das Di²design-Konzept als Multiplikator*innen in vielfältige Bildungskontexte der Nationalen Bildungsplattform weiter und setzen es dort um. Die jeweiligen didaktischen Umsetzungen bilden dann lokale Erkenntnisquellen, deren Dokumentationen zu einem Repositorium verknüpft werden, um von anderen genutzt und auf ähnliche didaktische Problemstellungen übertragen zu werden. Somit handelt es sich um die Ausbildung einer ‚community of practice‘, die darauf abzielt Wissen im gemeinsamen Austausch zu generieren und weiterzuentwickeln. Die Integration in die Nationalen Bildungsplattform bietet somit ein Distributionspotenzial für Lernressourcen, Lernmaterialien sowie für die Vernetzung von Expert:innenwissen, wodurch ein neues Interaktions- und Lernpotenzial für die Partizipierenden ausgebildet wird:</w:t>
      </w:r>
    </w:p>
    <w:p w:rsidR="00446A70" w:rsidRDefault="00446A70" w:rsidP="00446A70">
      <w:pPr>
        <w:pStyle w:val="AbsNorm"/>
      </w:pPr>
    </w:p>
    <w:p w:rsidR="00446A70" w:rsidRPr="009B3F71" w:rsidRDefault="00446A70" w:rsidP="00446A70">
      <w:pPr>
        <w:pStyle w:val="Zitat1"/>
        <w:rPr>
          <w:lang w:val="en-GB"/>
        </w:rPr>
      </w:pPr>
      <w:r w:rsidRPr="00A30AAE">
        <w:rPr>
          <w:lang w:val="en-GB"/>
        </w:rPr>
        <w:t>Because the place of knowledge is within a community of practice, questions of learning must be addressed within the developmental cycles of that community, a recommendation which creates a diagnostic tool for distinguishin</w:t>
      </w:r>
      <w:r>
        <w:rPr>
          <w:lang w:val="en-GB"/>
        </w:rPr>
        <w:t>g among communities of practice</w:t>
      </w:r>
      <w:r w:rsidRPr="00A30AAE">
        <w:rPr>
          <w:lang w:val="en-GB"/>
        </w:rPr>
        <w:t xml:space="preserve"> </w:t>
      </w:r>
      <w:r w:rsidRPr="009B3F71">
        <w:rPr>
          <w:lang w:val="en-GB"/>
        </w:rPr>
        <w:t>(Lave &amp; Wenger</w:t>
      </w:r>
      <w:r>
        <w:rPr>
          <w:lang w:val="en-GB"/>
        </w:rPr>
        <w:t>,</w:t>
      </w:r>
      <w:r w:rsidRPr="009B3F71">
        <w:rPr>
          <w:lang w:val="en-GB"/>
        </w:rPr>
        <w:t xml:space="preserve"> 1991, S. 100)</w:t>
      </w:r>
      <w:r>
        <w:rPr>
          <w:lang w:val="en-GB"/>
        </w:rPr>
        <w:t>.</w:t>
      </w:r>
    </w:p>
    <w:p w:rsidR="00446A70" w:rsidRPr="009B3F71" w:rsidRDefault="00446A70" w:rsidP="00446A70">
      <w:pPr>
        <w:pStyle w:val="AbsNorm"/>
        <w:rPr>
          <w:lang w:val="en-GB"/>
        </w:rPr>
      </w:pPr>
    </w:p>
    <w:p w:rsidR="00446A70" w:rsidRDefault="00446A70" w:rsidP="00446A70">
      <w:pPr>
        <w:pStyle w:val="Abs1"/>
      </w:pPr>
      <w:r>
        <w:t>Im Anschluss an die Implementierung des Lehr-/Lernmoduls sowie des Baukastens motivierender Spielelemente in die Nationale Bildungsplattform können weitere, themen- und fachspezifische Studien- und Weiterbildungsangebote aufgebaut werden.</w:t>
      </w:r>
    </w:p>
    <w:p w:rsidR="00446A70" w:rsidRDefault="00446A70" w:rsidP="00446A70">
      <w:pPr>
        <w:pStyle w:val="Abs1"/>
      </w:pPr>
    </w:p>
    <w:p w:rsidR="00446A70" w:rsidRDefault="00446A70" w:rsidP="00446A70"/>
    <w:p w:rsidR="00446A70" w:rsidRDefault="00446A70" w:rsidP="00446A70">
      <w:pPr>
        <w:pStyle w:val="berschrift1"/>
      </w:pPr>
      <w:bookmarkStart w:id="9" w:name="_qnkz4rtu0h6y" w:colFirst="0" w:colLast="0"/>
      <w:bookmarkEnd w:id="9"/>
      <w:r>
        <w:t xml:space="preserve">Fazit </w:t>
      </w:r>
    </w:p>
    <w:p w:rsidR="00446A70" w:rsidRDefault="00446A70" w:rsidP="00446A70">
      <w:pPr>
        <w:pStyle w:val="Abs1"/>
      </w:pPr>
    </w:p>
    <w:p w:rsidR="00446A70" w:rsidRDefault="00446A70" w:rsidP="00446A70">
      <w:pPr>
        <w:pStyle w:val="Abs1"/>
      </w:pPr>
      <w:r>
        <w:t>Ausgangspunkt des vorliegenden Beitrags war die Beobachtung, dass die digitale Transformation in der Hochschulbildung insgesamt zu stark veränderten Studienbedingungen geführt hat. Die vielbeschworene "disruptive" Wirkung der digitalen Transformation auf die Art und Weise, wie an Hochschulen gelernt und gelehrt wird, verdeutlicht sich sehr anschaulich an der nahezu vollständigen Umstellung auf Online-</w:t>
      </w:r>
      <w:r>
        <w:lastRenderedPageBreak/>
        <w:t>Formen aufgrund der aktuellen Pandemie-Situation. In Hinsicht auf die aktuellen Lernformen der akademischen Bildungspraxis kann die Digitalisierung für diesen lokalen Kontext als abgeschlossen beschrieben werden. Aus den neuen Anforderungen an Lernen und die geänderten Praktiken, die sich aus der Nutzung digitaler Lerninstrumente und -räume ergeben, ergeben sich vielfältige didaktische Implikationen. Insbesondere liegen diese im Bereich epistemologischer und organisatorischer Anforderungen (und weniger im Bereich technologischer Gestaltung).</w:t>
      </w:r>
    </w:p>
    <w:p w:rsidR="00446A70" w:rsidRDefault="00446A70" w:rsidP="00446A70">
      <w:pPr>
        <w:pStyle w:val="AbsNorm"/>
      </w:pPr>
      <w:r>
        <w:t xml:space="preserve">Für das Anwendungsgebiet der wissenschaftlichen Weiterbildung wurden zunächst didaktisch-interaktionsplanerische, curriculare und institutionelle Dimensionen unterschieden. Auf diesen drei Ebene ergeben sich konkrete Gestaltungsspielräume und -notwendigkeiten. Exemplarisch werden sie mit dem Di²design-Weiterbildungsprogramm aufgegriffen: Lehrende lernen dabei, ihre didaktischen Konzeptionen unter dem Aspekt motivationaler "Misfits" zu beobachten. Sie erkennen die Schwachstellen ihres jeweiligen Systems und finden gleichzeitig Anregungen, um kreative Lösungen dafür zu entwickeln. So schaffen sie motivierende Rahmenbedingungen für kooperatives Lernen in einer </w:t>
      </w:r>
      <w:r>
        <w:rPr>
          <w:i/>
        </w:rPr>
        <w:t xml:space="preserve">community of practice </w:t>
      </w:r>
      <w:r>
        <w:t>und fördern die soziale Eingebundenheit ihrer Zielgruppe.</w:t>
      </w:r>
    </w:p>
    <w:p w:rsidR="00446A70" w:rsidRDefault="00446A70" w:rsidP="00446A70"/>
    <w:p w:rsidR="00446A70" w:rsidRDefault="00446A70" w:rsidP="00446A70"/>
    <w:p w:rsidR="00446A70" w:rsidRDefault="00446A70" w:rsidP="00446A70">
      <w:pPr>
        <w:pStyle w:val="berschrift1"/>
        <w:numPr>
          <w:ilvl w:val="0"/>
          <w:numId w:val="0"/>
        </w:numPr>
        <w:ind w:left="397" w:hanging="397"/>
      </w:pPr>
      <w:bookmarkStart w:id="10" w:name="_iawkiiwctv15" w:colFirst="0" w:colLast="0"/>
      <w:bookmarkEnd w:id="10"/>
      <w:r>
        <w:t>Literatur</w:t>
      </w:r>
    </w:p>
    <w:p w:rsidR="00446A70" w:rsidRPr="00177E09" w:rsidRDefault="00446A70" w:rsidP="00446A70">
      <w:pPr>
        <w:pStyle w:val="Abs1"/>
      </w:pPr>
    </w:p>
    <w:p w:rsidR="00446A70" w:rsidRDefault="00446A70" w:rsidP="00446A70">
      <w:pPr>
        <w:pStyle w:val="Lit"/>
      </w:pPr>
      <w:r>
        <w:t>Baecker, D. (2021). Form und Medium der Digitalisierung. In B. Blättel-Mink (Hrsg.), Gesellschaft unter Spannung. Verhandlungen des 40. Kongresses der Deutschen Gesellschaft für Soziologie 2020 (S. 1–10).</w:t>
      </w:r>
    </w:p>
    <w:p w:rsidR="00446A70" w:rsidRPr="00177E09" w:rsidRDefault="00446A70" w:rsidP="00446A70">
      <w:pPr>
        <w:pStyle w:val="Lit"/>
        <w:rPr>
          <w:lang w:val="en-GB"/>
        </w:rPr>
      </w:pPr>
      <w:r w:rsidRPr="00177E09">
        <w:t xml:space="preserve">Barr, R. B. &amp; Tagg, J. (1995). </w:t>
      </w:r>
      <w:r w:rsidRPr="00A30AAE">
        <w:rPr>
          <w:lang w:val="en-GB"/>
        </w:rPr>
        <w:t xml:space="preserve">From teaching to learning – A new paradigm for undergraduate education. </w:t>
      </w:r>
      <w:r w:rsidRPr="00177E09">
        <w:rPr>
          <w:lang w:val="en-GB"/>
        </w:rPr>
        <w:t>Change: The Magazine of Higher Learning, 27(6), 12–26. Routledge.</w:t>
      </w:r>
    </w:p>
    <w:p w:rsidR="00446A70" w:rsidRPr="00177E09" w:rsidRDefault="00446A70" w:rsidP="00446A70">
      <w:pPr>
        <w:pStyle w:val="Lit"/>
        <w:rPr>
          <w:lang w:val="en-GB"/>
        </w:rPr>
      </w:pPr>
      <w:r w:rsidRPr="00A30AAE">
        <w:rPr>
          <w:lang w:val="en-GB"/>
        </w:rPr>
        <w:t xml:space="preserve">Benson, B. K. (1997). Scaffolding (Coming to Terms). </w:t>
      </w:r>
      <w:r w:rsidRPr="00177E09">
        <w:rPr>
          <w:lang w:val="en-GB"/>
        </w:rPr>
        <w:t>English Journal, 86(7), 126.</w:t>
      </w:r>
    </w:p>
    <w:p w:rsidR="00446A70" w:rsidRDefault="00446A70" w:rsidP="00446A70">
      <w:pPr>
        <w:pStyle w:val="Lit"/>
      </w:pPr>
      <w:r>
        <w:t>Boros, N., Kiefel, K. &amp; Schneijderberg, K. (2020). Kurzbefragung der Studierenden 2020. Freiburg: Universität Freiburg. Verfügbar unter: https://www.qmlehre.uni-freiburg.de/content-1/pdf-dokumente/berichte-befragungen/stu2020/stu2020-gesamtbericht</w:t>
      </w:r>
    </w:p>
    <w:p w:rsidR="00446A70" w:rsidRDefault="00446A70" w:rsidP="00446A70">
      <w:pPr>
        <w:pStyle w:val="Lit"/>
      </w:pPr>
      <w:r>
        <w:t>Bosse, E. &amp; Trautwein, C. (2014). Individuelle und institutionelle Herausforderungen der Studieneingangsphase. Zeitschrift für Hochschulentwicklung, 9(5), 41–62.</w:t>
      </w:r>
    </w:p>
    <w:p w:rsidR="00446A70" w:rsidRDefault="00446A70" w:rsidP="00446A70">
      <w:pPr>
        <w:pStyle w:val="Lit"/>
      </w:pPr>
      <w:r>
        <w:t>Brandhofer, G. (2016). Leitmedientransformation – oder: das geht nicht wieder weg. Verfügbar unter: https://www.brandhofer.cc/leitmedientransformation/</w:t>
      </w:r>
    </w:p>
    <w:p w:rsidR="00446A70" w:rsidRPr="0091749F" w:rsidRDefault="00446A70" w:rsidP="00446A70">
      <w:pPr>
        <w:pStyle w:val="Lit"/>
        <w:rPr>
          <w:lang w:val="en-GB"/>
        </w:rPr>
      </w:pPr>
      <w:r>
        <w:t xml:space="preserve">Brandhofer, G., Baumgartner, P., Ebner, M., Köberer, N., Trültzsch-Wijnen, C. &amp; Wiesner, C. (2019). Bildung im Zeitalter der Digitalisierung. </w:t>
      </w:r>
      <w:r w:rsidRPr="0091749F">
        <w:rPr>
          <w:lang w:val="en-GB"/>
        </w:rPr>
        <w:t>Federal Institute for Quality Assurance of the Austrian School System (IQS).</w:t>
      </w:r>
    </w:p>
    <w:p w:rsidR="00446A70" w:rsidRPr="00A30AAE" w:rsidRDefault="00446A70" w:rsidP="00446A70">
      <w:pPr>
        <w:pStyle w:val="Lit"/>
        <w:rPr>
          <w:lang w:val="en-GB"/>
        </w:rPr>
      </w:pPr>
      <w:r>
        <w:t xml:space="preserve">Bröker, T., Voit, T. &amp; Zinger, B. (2022). Das Motivationspotenzial von Spielen erschließen (Hochschulbildung. Lehre und Forschung). In T. Schmohl, A. Watanabe &amp; K. Schelling (Hrsg.), Künstliche Intelligenz in der Hochschulbildung. Trends, Chancen, Gefahren und Grenzen des KI-gestützten Lernens und Lehrens. </w:t>
      </w:r>
      <w:r w:rsidRPr="00A30AAE">
        <w:rPr>
          <w:lang w:val="en-GB"/>
        </w:rPr>
        <w:t>Bielefeld: transcript.</w:t>
      </w:r>
    </w:p>
    <w:p w:rsidR="00446A70" w:rsidRPr="00177E09" w:rsidRDefault="00446A70" w:rsidP="00446A70">
      <w:pPr>
        <w:pStyle w:val="Lit"/>
        <w:rPr>
          <w:lang w:val="en-GB"/>
        </w:rPr>
      </w:pPr>
      <w:r w:rsidRPr="00A30AAE">
        <w:rPr>
          <w:lang w:val="en-GB"/>
        </w:rPr>
        <w:t xml:space="preserve">Carey. (1993). Teacher Roles and Technology Integration: Moving from Teacher as Director to Teacher as Facilitator. </w:t>
      </w:r>
      <w:r w:rsidRPr="00177E09">
        <w:rPr>
          <w:lang w:val="en-GB"/>
        </w:rPr>
        <w:t>Computers in the Schools, 9(2–3), 105–118.</w:t>
      </w:r>
    </w:p>
    <w:p w:rsidR="00446A70" w:rsidRPr="00A30AAE" w:rsidRDefault="00446A70" w:rsidP="00446A70">
      <w:pPr>
        <w:pStyle w:val="Lit"/>
        <w:rPr>
          <w:lang w:val="en-GB"/>
        </w:rPr>
      </w:pPr>
      <w:r w:rsidRPr="00177E09">
        <w:rPr>
          <w:lang w:val="en-GB"/>
        </w:rPr>
        <w:t xml:space="preserve">Chen et al. (2020). </w:t>
      </w:r>
      <w:r w:rsidRPr="00A30AAE">
        <w:rPr>
          <w:lang w:val="en-GB"/>
        </w:rPr>
        <w:t>Games Literacy for Teacher Education. International Forum of Educational Technology &amp; Society, 23(2), 77–92.</w:t>
      </w:r>
    </w:p>
    <w:p w:rsidR="00446A70" w:rsidRDefault="00446A70" w:rsidP="00446A70">
      <w:pPr>
        <w:pStyle w:val="Lit"/>
      </w:pPr>
      <w:r>
        <w:t>Dahm, G., Becker, K. &amp; Bornkessel, P. (2018). Determinanten des Studienerfolgs nicht-traditioneller Studierender – zur Bedeutung der sozialen und akademischen Integration, der Lebensumstände und des Studienkontextes für die Studienabbruchneigung beruflich qualifizierter Studierender ohne Abitur. In P. Bornkessel (Hrsg.), Erfolg im Studium (S. 29–58). wbv Media.</w:t>
      </w:r>
    </w:p>
    <w:p w:rsidR="00446A70" w:rsidRPr="00A30AAE" w:rsidRDefault="00446A70" w:rsidP="00446A70">
      <w:pPr>
        <w:pStyle w:val="Lit"/>
        <w:rPr>
          <w:lang w:val="en-GB"/>
        </w:rPr>
      </w:pPr>
      <w:r w:rsidRPr="00D7524E">
        <w:rPr>
          <w:lang w:val="en-GB"/>
        </w:rPr>
        <w:t xml:space="preserve">Doo, M. Y., Bonk, C. &amp; Heo, H. (2020). </w:t>
      </w:r>
      <w:r w:rsidRPr="00A30AAE">
        <w:rPr>
          <w:lang w:val="en-GB"/>
        </w:rPr>
        <w:t>A Meta-Analysis of Scaffolding Effects in Online Learning in Higher Education. The International Review of Research in Open and Distributed Learning, 21(3).</w:t>
      </w:r>
    </w:p>
    <w:p w:rsidR="00446A70" w:rsidRDefault="00446A70" w:rsidP="00446A70">
      <w:pPr>
        <w:pStyle w:val="Lit"/>
      </w:pPr>
      <w:r>
        <w:t>EdTech-Charta. (2021, November 2). Ready to experiment - Bildungsinnovationen in Hochschulen mit externen Partnern ermöglichen, umsetzen und skalieren. Verfügbar unter: https://stifterverband.org/edtech-charta</w:t>
      </w:r>
    </w:p>
    <w:p w:rsidR="00446A70" w:rsidRDefault="00446A70" w:rsidP="00446A70">
      <w:pPr>
        <w:pStyle w:val="Lit"/>
      </w:pPr>
      <w:r>
        <w:t>Gloerfeld, C. (2020). Auswirkungen von Digitalisierung auf Lehr- und Lernprozesse (Medienbildung und Gesellschaft) (1. Aufl., Band 43). Wiesbaden: Springer VS.</w:t>
      </w:r>
    </w:p>
    <w:p w:rsidR="00446A70" w:rsidRDefault="00446A70" w:rsidP="00446A70">
      <w:pPr>
        <w:pStyle w:val="Lit"/>
      </w:pPr>
      <w:r>
        <w:t>Gruber, H., Harteis, C., Hasanbegovic, J. &amp; Lehner, F. (2007). Über die Rolle epistemischer Überzeugungen für die Gestaltung von E-Learning — eine empirische Studie bei Hochschul-Lehrenden. In M.H. Breitner, B. Bruns &amp; F. Lehner (Hrsg.), Neue Trends im E-Learning (S. 123–132). Heidelberg: Physica-Verlag HD.</w:t>
      </w:r>
    </w:p>
    <w:p w:rsidR="00446A70" w:rsidRDefault="00446A70" w:rsidP="00446A70">
      <w:pPr>
        <w:pStyle w:val="Lit"/>
      </w:pPr>
      <w:r>
        <w:t>Harwardt, M. (2019). Digitalisierung und digitale Transformation. Management der digitalen Transformation (S. 1–16). Wiesbaden: Springer VS.</w:t>
      </w:r>
    </w:p>
    <w:p w:rsidR="00446A70" w:rsidRPr="00A30AAE" w:rsidRDefault="00446A70" w:rsidP="00446A70">
      <w:pPr>
        <w:pStyle w:val="Lit"/>
        <w:rPr>
          <w:lang w:val="en-GB"/>
        </w:rPr>
      </w:pPr>
      <w:r w:rsidRPr="00A30AAE">
        <w:rPr>
          <w:lang w:val="en-GB"/>
        </w:rPr>
        <w:t>Hodges, C. B., Moore, S., Lockee, B. B., Trust, T. &amp; Bond, M. A. (2020). The Difference Between Emergency Remote Teaching and Online Learning. Educause.</w:t>
      </w:r>
    </w:p>
    <w:p w:rsidR="00446A70" w:rsidRDefault="00446A70" w:rsidP="00446A70">
      <w:pPr>
        <w:pStyle w:val="Lit"/>
      </w:pPr>
      <w:r>
        <w:t>Hofhues, S. &amp; Schiefner-Rohs, M. (2020). Vom E-Learning zur Digitalisierung: Geschichten eines erhofften Wandels in der Hochschulbildung (Medien in der Wissenschaft). In R. Bauer, J. Hafer, S. Hofhues, M. Schiefner-Rohs, A.M. Thillosen, B. Volk et al. (Hrsg.), Vom E-Learning zur Digitalisierung. Mythen, Realitäten, Perspektiven (S. 23–36). Münster; New York: Waxmann.</w:t>
      </w:r>
    </w:p>
    <w:p w:rsidR="00446A70" w:rsidRDefault="00446A70" w:rsidP="00446A70">
      <w:pPr>
        <w:pStyle w:val="Lit"/>
      </w:pPr>
      <w:r>
        <w:lastRenderedPageBreak/>
        <w:t>Isleib, S. &amp; Woisch, A. (2018). Studienerfolg jenseits gymnasialer Zugangswege zum Studium. In P. Bornkessel (Hrsg.), Erfolg im Studium (S. 29–58). DE: wbv Media.</w:t>
      </w:r>
    </w:p>
    <w:p w:rsidR="00446A70" w:rsidRDefault="00446A70" w:rsidP="00446A70">
      <w:pPr>
        <w:pStyle w:val="Lit"/>
      </w:pPr>
      <w:r>
        <w:t xml:space="preserve">Krath, J. &amp; Korflesch, H. von. </w:t>
      </w:r>
      <w:r w:rsidRPr="00A30AAE">
        <w:rPr>
          <w:lang w:val="en-GB"/>
        </w:rPr>
        <w:t xml:space="preserve">(2021). Designing gamification and persuasive systems: A systematic literature review. Proceedings of the 5th International GamiFIN Conference, Levi, Finland, April 7-9, 2021 - (Organized as an online conference). </w:t>
      </w:r>
      <w:r>
        <w:t>(S. 100–109). Verfügbar unter: http://ceur-ws.org/Vol-2883/paper11.pdf</w:t>
      </w:r>
    </w:p>
    <w:p w:rsidR="00446A70" w:rsidRDefault="00446A70" w:rsidP="00446A70">
      <w:pPr>
        <w:pStyle w:val="Lit"/>
      </w:pPr>
      <w:r>
        <w:t>Krommer, A. (2018). Warum der Grundsatz „Pädagogik vor Technik“ bestenfalls trivial ist. Verfügbar unter: https://axelkrommer.com/2018/04/16/warum-der-grundsatz-paedagogik-vor-technik-bestenfalls-trivial-ist/</w:t>
      </w:r>
    </w:p>
    <w:p w:rsidR="00446A70" w:rsidRPr="00A30AAE" w:rsidRDefault="00446A70" w:rsidP="00446A70">
      <w:pPr>
        <w:pStyle w:val="Lit"/>
        <w:rPr>
          <w:lang w:val="en-GB"/>
        </w:rPr>
      </w:pPr>
      <w:r w:rsidRPr="00A30AAE">
        <w:rPr>
          <w:lang w:val="en-GB"/>
        </w:rPr>
        <w:t>Lave, J. &amp; Wenger, E. (1991). Situated Learning. Legitimate peripheral participation. Cambridge University Press.</w:t>
      </w:r>
    </w:p>
    <w:p w:rsidR="00446A70" w:rsidRDefault="00446A70" w:rsidP="00446A70">
      <w:pPr>
        <w:pStyle w:val="Lit"/>
      </w:pPr>
      <w:r>
        <w:t>Lörz, M., Marczuk, A., Zimmer, L., Multrus, F. &amp; Buchholz, S. (2020). Studieren unter Corona - Bedingungen: Studierende bewerten das erste Digitalsemester. DZHW-Brief.</w:t>
      </w:r>
    </w:p>
    <w:p w:rsidR="00446A70" w:rsidRDefault="00446A70" w:rsidP="00446A70">
      <w:pPr>
        <w:pStyle w:val="Lit"/>
      </w:pPr>
      <w:r>
        <w:t>Marczuk, A., Multrus, F. &amp; Lörz, M. (2021). Die Studiensituation in der Corona-Pandemie: Auswirkungen der Digitalisierung auf die Lern-und Kontaktsituation von Studierenden (DZHW-Brief) (Band 1). Verfügbar unter: https://www.die-studierendenbefragung.de/fileadmin/user_upload/publikationen/dzhw_brief_01_2021.pdf</w:t>
      </w:r>
    </w:p>
    <w:p w:rsidR="00446A70" w:rsidRDefault="00446A70" w:rsidP="00446A70">
      <w:pPr>
        <w:pStyle w:val="Lit"/>
      </w:pPr>
      <w:r>
        <w:t>Meißelbach, C. &amp; Bochmann, C. (2020). Wir können hier alle nur dazulernen. Dresden: TU Dresden. Verfügbar unter: https://tu-dresden.de/gsw/phil/powi/polsys/ressourcen/dateien/forschung/umfrage-digitale-lehre/studierendenbefragung-digitale-lehre.pdf/view</w:t>
      </w:r>
    </w:p>
    <w:p w:rsidR="00446A70" w:rsidRDefault="00446A70" w:rsidP="00446A70">
      <w:pPr>
        <w:pStyle w:val="Lit"/>
      </w:pPr>
      <w:r>
        <w:t>Metzner, J., Bartosch, U., Vogel, M., Schroll, A.-L., Rademacher, M. &amp; Neuhausen, H. (2019). Was bedeutet Hochschullehre im digitalen Zeitalter? Eine Betrachtung des Bildungsbegriffs vor den Herausforderungen der Digitalisierung. Verfügbar unter: https://hochschulforumdigitalisierung.de/sites/default/files/dateien/HFD_AP_Nr50_Hochschullehre_im_digitalen_Zeitalter_web.pdf</w:t>
      </w:r>
    </w:p>
    <w:p w:rsidR="00446A70" w:rsidRDefault="00446A70" w:rsidP="00446A70">
      <w:pPr>
        <w:pStyle w:val="Lit"/>
      </w:pPr>
      <w:r>
        <w:t>Röwert, R., Lah, W., Dahms, K., Berthold, C. &amp; Stuckrad, T. (2017). Diversität und Studienerfolg: Studienrelevante Heterogenitätsmerkmale an Universitäten und Fachhochschulen und ihr Einfluss auf den Studienerfolg - eine quantitative Untersuchung. CHE Arbeitspapier.</w:t>
      </w:r>
    </w:p>
    <w:p w:rsidR="00446A70" w:rsidRDefault="00446A70" w:rsidP="00446A70">
      <w:pPr>
        <w:pStyle w:val="Lit"/>
      </w:pPr>
      <w:r>
        <w:t>Sarcletti, A. &amp; Müller, S. (2011). Zum Stand der Studienabbruchforschung. Theoretische Perspektiven, zentrale Ergebnisse und methodische Anforderungen an künftige Studien. Zeitschrift für Bildungsforschung, 1(3), 235–248.</w:t>
      </w:r>
    </w:p>
    <w:p w:rsidR="00446A70" w:rsidRDefault="00446A70" w:rsidP="00446A70">
      <w:pPr>
        <w:pStyle w:val="Lit"/>
      </w:pPr>
      <w:r>
        <w:t>Schmohl, T. (2019). Wider die Vulgärdidaktik (TeachingXchange). In T. Schmohl &amp; K.-A. To (Hrsg.), Hochschullehre als reflektierte Praxis. Fachdidaktische Fallbeispiele mit Transferpotenzial (S. 149–169). Bielefeld: wbv media.</w:t>
      </w:r>
    </w:p>
    <w:p w:rsidR="00446A70" w:rsidRDefault="00446A70" w:rsidP="00446A70">
      <w:pPr>
        <w:pStyle w:val="Lit"/>
      </w:pPr>
      <w:r>
        <w:t>Schmohl, T. (2021). Wissenschaftstheorie (Hochschulbildung. Lehre und Forschung). In T. Schmohl &amp; T. Philipp (Hrsg.), Handbuch Transdisziplinäre Didaktik. Bielefeld: transcript.</w:t>
      </w:r>
    </w:p>
    <w:p w:rsidR="00446A70" w:rsidRPr="00A30AAE" w:rsidRDefault="00446A70" w:rsidP="00446A70">
      <w:pPr>
        <w:pStyle w:val="Lit"/>
        <w:rPr>
          <w:lang w:val="en-GB"/>
        </w:rPr>
      </w:pPr>
      <w:r>
        <w:t xml:space="preserve">Schmohl, T. &amp; Philipp, T. (Hrsg.). (2021). Handbuch Transdisziplinäre Didaktik (Hochschulbildung. Lehre und Forschung) (Band 1). </w:t>
      </w:r>
      <w:r w:rsidRPr="00A30AAE">
        <w:rPr>
          <w:lang w:val="en-GB"/>
        </w:rPr>
        <w:t>Bielefeld: transcript.</w:t>
      </w:r>
    </w:p>
    <w:p w:rsidR="00446A70" w:rsidRDefault="00446A70" w:rsidP="00446A70">
      <w:pPr>
        <w:pStyle w:val="Lit"/>
      </w:pPr>
      <w:r w:rsidRPr="00A30AAE">
        <w:rPr>
          <w:lang w:val="en-GB"/>
        </w:rPr>
        <w:t xml:space="preserve">Schneider, M. &amp; Preckel, F. (2017). Variables associated with achievement in higher education: A systematic review of meta-analyses. </w:t>
      </w:r>
      <w:r>
        <w:t>Psychological Bulletin, 143(6), 565–600.</w:t>
      </w:r>
    </w:p>
    <w:p w:rsidR="00446A70" w:rsidRDefault="00446A70" w:rsidP="00446A70">
      <w:pPr>
        <w:pStyle w:val="Lit"/>
      </w:pPr>
      <w:r>
        <w:t>Schön, S., Ebner, M., Schön, M. &amp; Haas, M. (2017). Digitalisierung ist konsequent eingesetzt ein pädagogischer Mehrwert für das Studium. Thesen zur Verschmelzung von analogem und digitalem Lernen auf der Grundlage von neun Fallstudien (Medien in der Wissenschaft). In C. Igel (Hrsg.), Bildungsräume. Proceedings der 25. Jahrestagung der Gesellschaft für Medien in der Wissenschaft: 5. bis 8. September 2017 in Chemnitz (S. 11–19). Münster; New York: Waxmann.</w:t>
      </w:r>
    </w:p>
    <w:p w:rsidR="00446A70" w:rsidRDefault="00446A70" w:rsidP="00446A70">
      <w:pPr>
        <w:pStyle w:val="Lit"/>
      </w:pPr>
      <w:r>
        <w:t>SPD, Bündnis 90/Die Grünen und FDP. (2021, November 24). Mehr Fortschritt wagen. Bündnis für Freiheit, Gerechtigkeit und Nachhaltigkeit. Koalitionsvertrag 2021-2025. Zugriff am 30.11.2021. Verfügbar unter: https://www.spd.de/fileadmin/Dokumente/Koalitionsvertrag/Koalitionsvertrag_2021-2025.pdf</w:t>
      </w:r>
    </w:p>
    <w:p w:rsidR="00446A70" w:rsidRDefault="00446A70" w:rsidP="00446A70">
      <w:pPr>
        <w:pStyle w:val="Lit"/>
      </w:pPr>
      <w:r>
        <w:t>Stalder, F. (2018). Herausforderungen der Digitalität jenseits der Technologie. Synergie. Fachmagazin für Digitalisierung in der Lehre, 5, 8–16.</w:t>
      </w:r>
    </w:p>
    <w:p w:rsidR="00446A70" w:rsidRDefault="00446A70" w:rsidP="00446A70">
      <w:pPr>
        <w:pStyle w:val="Lit"/>
      </w:pPr>
      <w:r>
        <w:t>Tenorth, H.-E. (2019). Der Erzieher als Techniker, die Technologie der Pädagogik. Vierteljahrsschrift für wissenschaftliche Pädagogik, 95(4), 467–483.</w:t>
      </w:r>
    </w:p>
    <w:p w:rsidR="00446A70" w:rsidRPr="00D21A01" w:rsidRDefault="00446A70" w:rsidP="00446A70">
      <w:pPr>
        <w:pStyle w:val="Lit"/>
        <w:rPr>
          <w:lang w:val="en-GB"/>
        </w:rPr>
      </w:pPr>
      <w:r w:rsidRPr="00D21A01">
        <w:rPr>
          <w:lang w:val="en-GB"/>
        </w:rPr>
        <w:t xml:space="preserve">Thibault, M. &amp; Hamari, J. (2021). </w:t>
      </w:r>
      <w:r w:rsidRPr="00A30AAE">
        <w:rPr>
          <w:lang w:val="en-GB"/>
        </w:rPr>
        <w:t>Seven Points to Reappropriate Gamification. Transforming Society and Organizations through Gamification. From the Sustainable Development Goals to Inclusive Workplaces (S. 11–28).</w:t>
      </w:r>
    </w:p>
    <w:p w:rsidR="00446A70" w:rsidRPr="00A30AAE" w:rsidRDefault="00446A70" w:rsidP="00446A70">
      <w:pPr>
        <w:pStyle w:val="Lit"/>
        <w:rPr>
          <w:lang w:val="en-GB"/>
        </w:rPr>
      </w:pPr>
      <w:r>
        <w:t xml:space="preserve">Vuorikari R, Punie Y, Carretero Gomez S, &amp; Van Den Brande G. (2016). </w:t>
      </w:r>
      <w:r w:rsidRPr="00A30AAE">
        <w:rPr>
          <w:lang w:val="en-GB"/>
        </w:rPr>
        <w:t>DigComp 2.0: The Digital Competence Framework for Citizens. Update Phase 1: the Conceptual Reference Model. 1018-5593. Luxembourg (Luxembourg): Publications Office of the European Union.</w:t>
      </w:r>
    </w:p>
    <w:p w:rsidR="00446A70" w:rsidRDefault="00446A70" w:rsidP="00446A70">
      <w:pPr>
        <w:pStyle w:val="Lit"/>
      </w:pPr>
      <w:r w:rsidRPr="00A30AAE">
        <w:rPr>
          <w:lang w:val="en-GB"/>
        </w:rPr>
        <w:t xml:space="preserve">Wampfler, P. (2020). </w:t>
      </w:r>
      <w:r>
        <w:t>Digitalität statt Digitalisierung. Weshalb ich davon ausgehe, die digitale Transformation sei abgeschlossen. Verfügbar unter: https://schulesocialmedia.com/2020/09/19/digitalitat-statt-digitalisierung-weshalb-ich-davon-ausgehe-die-digitale-transformation-sei-abgeschlossen/</w:t>
      </w:r>
    </w:p>
    <w:p w:rsidR="00446A70" w:rsidRDefault="00446A70" w:rsidP="00446A70">
      <w:pPr>
        <w:pStyle w:val="Lit"/>
      </w:pPr>
      <w:r>
        <w:t>Wildt, J. (2014). Synergien zwischen fachbezogener und fachübergreifender Hochschuldidaktik (nexus Newsletter). nexus Newsletter, (6), 1–5.</w:t>
      </w:r>
    </w:p>
    <w:p w:rsidR="00446A70" w:rsidRPr="00A30AAE" w:rsidRDefault="00446A70" w:rsidP="00446A70">
      <w:pPr>
        <w:pStyle w:val="Lit"/>
        <w:rPr>
          <w:lang w:val="en-GB"/>
        </w:rPr>
      </w:pPr>
      <w:r>
        <w:t xml:space="preserve">Wissenschaftsrat. (2000). Empfehlungen zur Einführung neuer Studienstrukturen und -abschlüsse (Bakkalaureus/Bachelor – Magister/Master) in Deutschland. </w:t>
      </w:r>
      <w:r w:rsidRPr="00A30AAE">
        <w:rPr>
          <w:lang w:val="en-GB"/>
        </w:rPr>
        <w:t>Berlin.</w:t>
      </w:r>
    </w:p>
    <w:p w:rsidR="00446A70" w:rsidRDefault="00446A70" w:rsidP="00446A70">
      <w:pPr>
        <w:pStyle w:val="Lit"/>
      </w:pPr>
      <w:r w:rsidRPr="00A30AAE">
        <w:rPr>
          <w:lang w:val="en-GB"/>
        </w:rPr>
        <w:t xml:space="preserve">Wood, D., Bruner, J. S. &amp; Ross, G. (1976). The Role Of Tutoring In Problem Solving*. </w:t>
      </w:r>
      <w:r>
        <w:t>J . Child Psychol. Psychiat, (17), 89–100.</w:t>
      </w:r>
    </w:p>
    <w:p w:rsidR="00446A70" w:rsidRDefault="00446A70" w:rsidP="00446A70">
      <w:pPr>
        <w:pStyle w:val="Lit"/>
      </w:pPr>
      <w:r>
        <w:t>Zinger, B. &amp; Bröker, T. (2020). Lernen der Zukunft. Veränderungen weiterdenken. In B. Zinger, D. Vode &amp; N. Oberbeck (Hrsg.), Lernen für die Zukunft. Impulse für eine lehrbezogene Hochschulentwicklung (S. 176–192). Weinheim: Beltz.</w:t>
      </w:r>
    </w:p>
    <w:p w:rsidR="005C258A" w:rsidRPr="00446A70" w:rsidRDefault="00446A70" w:rsidP="00446A70">
      <w:pPr>
        <w:pStyle w:val="Lit"/>
        <w:rPr>
          <w:b/>
        </w:rPr>
      </w:pPr>
      <w:r>
        <w:t>Zinger, B., Bröker, T., Lehmann, R., Haberkern, C. &amp; Lipot, S. (2021). Vom Krisenmodus zum Change-Prozess: Hochschullehre in Zeiten der CoViD-19-Pandemie aus Sicht der Hochschulsteuerung. MedienPädagogik: Zeitschrift für Theorie und Praxis der Medienbildung, 40, 326–345.</w:t>
      </w:r>
      <w:bookmarkStart w:id="11" w:name="_GoBack"/>
      <w:bookmarkEnd w:id="11"/>
    </w:p>
    <w:sectPr w:rsidR="005C258A" w:rsidRPr="00446A70" w:rsidSect="00446A70">
      <w:headerReference w:type="even" r:id="rId7"/>
      <w:headerReference w:type="default" r:id="rId8"/>
      <w:footerReference w:type="even" r:id="rId9"/>
      <w:footerReference w:type="default" r:id="rId10"/>
      <w:headerReference w:type="first" r:id="rId11"/>
      <w:footerReference w:type="first" r:id="rId12"/>
      <w:pgSz w:w="12240" w:h="15840"/>
      <w:pgMar w:top="1417" w:right="1417" w:bottom="1134" w:left="1417" w:header="0" w:footer="720"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26B8" w:rsidRDefault="00FD26B8" w:rsidP="00446A70">
      <w:r>
        <w:separator/>
      </w:r>
    </w:p>
  </w:endnote>
  <w:endnote w:type="continuationSeparator" w:id="0">
    <w:p w:rsidR="00FD26B8" w:rsidRDefault="00FD26B8" w:rsidP="00446A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Fett">
    <w:panose1 w:val="02020803070505020304"/>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68DB" w:rsidRDefault="00FD26B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669D" w:rsidRDefault="00FD26B8"/>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68DB" w:rsidRDefault="00FD26B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26B8" w:rsidRDefault="00FD26B8" w:rsidP="00446A70">
      <w:r>
        <w:separator/>
      </w:r>
    </w:p>
  </w:footnote>
  <w:footnote w:type="continuationSeparator" w:id="0">
    <w:p w:rsidR="00FD26B8" w:rsidRDefault="00FD26B8" w:rsidP="00446A70">
      <w:r>
        <w:continuationSeparator/>
      </w:r>
    </w:p>
  </w:footnote>
  <w:footnote w:id="1">
    <w:p w:rsidR="00446A70" w:rsidRDefault="00446A70" w:rsidP="00446A70">
      <w:pPr>
        <w:rPr>
          <w:sz w:val="16"/>
          <w:szCs w:val="16"/>
        </w:rPr>
      </w:pPr>
      <w:r>
        <w:rPr>
          <w:vertAlign w:val="superscript"/>
        </w:rPr>
        <w:footnoteRef/>
      </w:r>
      <w:r>
        <w:rPr>
          <w:sz w:val="20"/>
          <w:szCs w:val="20"/>
        </w:rPr>
        <w:t xml:space="preserve"> Der Zusammenhang von sozialer Eingebundenheit und Motivation lässt sich im Anschluss an die Selbstbestimmungstheorie von Deci &amp; Ryan (1985) sowie deren erweitertes kognitives Modell (Rheinberg 2006, S. 341) beschreiben. Soziale Eingebundenheit ist dabei eine zentrale Kategorie motivationaler Bedürfnisse, die durch weitere Bedürfnisse wie Autonomieerleben, Kompetenzerleben und Bedeutung ergänzt werden kann (Sailer 2017, S. 113-125).</w:t>
      </w:r>
    </w:p>
  </w:footnote>
  <w:footnote w:id="2">
    <w:p w:rsidR="00446A70" w:rsidRDefault="00446A70" w:rsidP="00446A70">
      <w:pPr>
        <w:rPr>
          <w:sz w:val="20"/>
          <w:szCs w:val="20"/>
        </w:rPr>
      </w:pPr>
      <w:r>
        <w:rPr>
          <w:vertAlign w:val="superscript"/>
        </w:rPr>
        <w:footnoteRef/>
      </w:r>
      <w:r>
        <w:rPr>
          <w:sz w:val="20"/>
          <w:szCs w:val="20"/>
        </w:rPr>
        <w:t xml:space="preserve"> Eklatant lässt sich diese Verharmlosung beispielsweise auch im aktuellen mediendidaktischen Diskurs zeigen, wenn etwa Hofhues und Schiefner-Rohs (2020, S. 34) konstatieren: "Die Technologie (und die Begrifflichkeiten) mögen sich geändert haben, didaktische Ziele (Motivation, Beteiligung, …) bleiben gleich".</w:t>
      </w:r>
    </w:p>
  </w:footnote>
  <w:footnote w:id="3">
    <w:p w:rsidR="00446A70" w:rsidRDefault="00446A70" w:rsidP="00446A70">
      <w:pPr>
        <w:rPr>
          <w:sz w:val="20"/>
          <w:szCs w:val="20"/>
        </w:rPr>
      </w:pPr>
      <w:r>
        <w:rPr>
          <w:vertAlign w:val="superscript"/>
        </w:rPr>
        <w:footnoteRef/>
      </w:r>
      <w:r>
        <w:rPr>
          <w:sz w:val="20"/>
          <w:szCs w:val="20"/>
        </w:rPr>
        <w:t xml:space="preserve"> Hier gibt es erste Lösungen außerhalb der bekannten Arbeits- und Denkstrukturen. So fördert zum Beispiel der Verbund </w:t>
      </w:r>
      <w:r>
        <w:rPr>
          <w:i/>
          <w:sz w:val="20"/>
          <w:szCs w:val="20"/>
        </w:rPr>
        <w:t xml:space="preserve">Hochschule Bayern e.V. </w:t>
      </w:r>
      <w:r>
        <w:rPr>
          <w:sz w:val="20"/>
          <w:szCs w:val="20"/>
        </w:rPr>
        <w:t>die kooperative Entwicklung von Lernangeboten, die an mehreren Hochschulen eingesetzt werden.</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5552" w:rsidRDefault="00FD26B8" w:rsidP="00BF5552">
    <w:pPr>
      <w:tabs>
        <w:tab w:val="right" w:pos="9345"/>
      </w:tabs>
      <w:spacing w:before="960"/>
    </w:pPr>
    <w:r>
      <w:tab/>
    </w:r>
    <w:r>
      <w:fldChar w:fldCharType="begin"/>
    </w:r>
    <w:r>
      <w:instrText>PAGE</w:instrText>
    </w:r>
    <w:r>
      <w:fldChar w:fldCharType="separate"/>
    </w:r>
    <w:r>
      <w:rPr>
        <w:noProof/>
      </w:rPr>
      <w:t>8</w:t>
    </w:r>
    <w:r>
      <w:fldChar w:fldCharType="end"/>
    </w:r>
  </w:p>
  <w:p w:rsidR="00BF5552" w:rsidRDefault="00FD26B8" w:rsidP="00BF5552">
    <w:pPr>
      <w:tabs>
        <w:tab w:val="right" w:pos="9345"/>
      </w:tabs>
      <w:spacing w:before="24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5552" w:rsidRDefault="00FD26B8" w:rsidP="00BF5552">
    <w:pPr>
      <w:tabs>
        <w:tab w:val="right" w:pos="9345"/>
      </w:tabs>
      <w:spacing w:before="960"/>
    </w:pPr>
    <w:r>
      <w:tab/>
    </w:r>
    <w:r>
      <w:fldChar w:fldCharType="begin"/>
    </w:r>
    <w:r>
      <w:instrText>PAGE</w:instrText>
    </w:r>
    <w:r>
      <w:fldChar w:fldCharType="separate"/>
    </w:r>
    <w:r w:rsidR="00446A70">
      <w:rPr>
        <w:noProof/>
      </w:rPr>
      <w:t>7</w:t>
    </w:r>
    <w:r>
      <w:fldChar w:fldCharType="end"/>
    </w:r>
  </w:p>
  <w:p w:rsidR="00BF5552" w:rsidRDefault="00FD26B8" w:rsidP="00BF5552">
    <w:pPr>
      <w:tabs>
        <w:tab w:val="right" w:pos="9345"/>
      </w:tabs>
      <w:spacing w:before="24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1669D" w:rsidRDefault="00FD26B8">
    <w:pPr>
      <w:pBdr>
        <w:top w:val="nil"/>
        <w:left w:val="nil"/>
        <w:bottom w:val="nil"/>
        <w:right w:val="nil"/>
        <w:between w:val="nil"/>
      </w:pBdr>
      <w:tabs>
        <w:tab w:val="right" w:pos="9345"/>
      </w:tabs>
      <w:spacing w:before="960"/>
    </w:pPr>
    <w:r>
      <w:tab/>
    </w:r>
    <w:r>
      <w:fldChar w:fldCharType="begin"/>
    </w:r>
    <w:r>
      <w:instrText>PAGE</w:instrText>
    </w:r>
    <w:r>
      <w:fldChar w:fldCharType="separate"/>
    </w:r>
    <w:r w:rsidR="00446A70">
      <w:rPr>
        <w:noProof/>
      </w:rPr>
      <w:t>1</w:t>
    </w:r>
    <w:r>
      <w:fldChar w:fldCharType="end"/>
    </w:r>
  </w:p>
  <w:p w:rsidR="00446A70" w:rsidRDefault="00446A70" w:rsidP="00446A7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3A3E10"/>
    <w:multiLevelType w:val="hybridMultilevel"/>
    <w:tmpl w:val="51A8EF38"/>
    <w:lvl w:ilvl="0" w:tplc="09D6AED8">
      <w:start w:val="1"/>
      <w:numFmt w:val="decimal"/>
      <w:pStyle w:val="AufzNum"/>
      <w:lvlText w:val="%1."/>
      <w:lvlJc w:val="left"/>
      <w:pPr>
        <w:tabs>
          <w:tab w:val="num" w:pos="360"/>
        </w:tabs>
        <w:ind w:left="36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 w15:restartNumberingAfterBreak="0">
    <w:nsid w:val="09175FF2"/>
    <w:multiLevelType w:val="hybridMultilevel"/>
    <w:tmpl w:val="64A0C230"/>
    <w:lvl w:ilvl="0" w:tplc="3CC6D432">
      <w:start w:val="1"/>
      <w:numFmt w:val="bullet"/>
      <w:pStyle w:val="AufzPunkt"/>
      <w:lvlText w:val=""/>
      <w:lvlJc w:val="left"/>
      <w:pPr>
        <w:tabs>
          <w:tab w:val="num" w:pos="397"/>
        </w:tabs>
        <w:ind w:left="397" w:hanging="113"/>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2303EE5"/>
    <w:multiLevelType w:val="multilevel"/>
    <w:tmpl w:val="4768EAA8"/>
    <w:lvl w:ilvl="0">
      <w:start w:val="1"/>
      <w:numFmt w:val="decimal"/>
      <w:pStyle w:val="berschrift1"/>
      <w:lvlText w:val="%1"/>
      <w:lvlJc w:val="left"/>
      <w:pPr>
        <w:tabs>
          <w:tab w:val="num" w:pos="397"/>
        </w:tabs>
        <w:ind w:left="397" w:hanging="397"/>
      </w:pPr>
      <w:rPr>
        <w:rFonts w:hint="default"/>
      </w:rPr>
    </w:lvl>
    <w:lvl w:ilvl="1">
      <w:start w:val="1"/>
      <w:numFmt w:val="decimal"/>
      <w:pStyle w:val="berschrift2"/>
      <w:lvlText w:val="%1.%2"/>
      <w:lvlJc w:val="left"/>
      <w:pPr>
        <w:tabs>
          <w:tab w:val="num" w:pos="397"/>
        </w:tabs>
        <w:ind w:left="397" w:hanging="397"/>
      </w:pPr>
      <w:rPr>
        <w:rFonts w:hint="default"/>
      </w:rPr>
    </w:lvl>
    <w:lvl w:ilvl="2">
      <w:start w:val="1"/>
      <w:numFmt w:val="decimal"/>
      <w:pStyle w:val="berschrift3"/>
      <w:lvlText w:val="%1.%2.%3"/>
      <w:lvlJc w:val="left"/>
      <w:pPr>
        <w:tabs>
          <w:tab w:val="num" w:pos="567"/>
        </w:tabs>
        <w:ind w:left="567" w:hanging="567"/>
      </w:pPr>
      <w:rPr>
        <w:rFonts w:hint="default"/>
      </w:rPr>
    </w:lvl>
    <w:lvl w:ilvl="3">
      <w:start w:val="1"/>
      <w:numFmt w:val="decimal"/>
      <w:pStyle w:val="berschrift4"/>
      <w:lvlText w:val="%1.%2.%3.%4"/>
      <w:lvlJc w:val="left"/>
      <w:pPr>
        <w:tabs>
          <w:tab w:val="num" w:pos="1080"/>
        </w:tabs>
        <w:ind w:left="737" w:hanging="737"/>
      </w:pPr>
      <w:rPr>
        <w:rFonts w:hint="default"/>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5644"/>
    <w:rsid w:val="00446A70"/>
    <w:rsid w:val="00680C34"/>
    <w:rsid w:val="00DF5644"/>
    <w:rsid w:val="00F53ECC"/>
    <w:rsid w:val="00FD26B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3554A9"/>
  <w15:chartTrackingRefBased/>
  <w15:docId w15:val="{9CD2BC9A-F123-4BB2-A317-09F98B6AF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rsid w:val="00446A70"/>
    <w:pPr>
      <w:spacing w:after="0" w:line="240" w:lineRule="auto"/>
    </w:pPr>
    <w:rPr>
      <w:rFonts w:ascii="Times New Roman" w:eastAsia="Times New Roman" w:hAnsi="Times New Roman" w:cs="Times New Roman"/>
      <w:szCs w:val="24"/>
      <w:lang w:val="de" w:eastAsia="de-DE"/>
    </w:rPr>
  </w:style>
  <w:style w:type="paragraph" w:styleId="berschrift1">
    <w:name w:val="heading 1"/>
    <w:aliases w:val="Hauptteile"/>
    <w:basedOn w:val="Standard"/>
    <w:next w:val="Abs1"/>
    <w:link w:val="berschrift1Zchn"/>
    <w:rsid w:val="00446A70"/>
    <w:pPr>
      <w:keepNext/>
      <w:numPr>
        <w:numId w:val="1"/>
      </w:numPr>
      <w:suppressAutoHyphens/>
      <w:outlineLvl w:val="0"/>
    </w:pPr>
    <w:rPr>
      <w:rFonts w:ascii="Times New Roman Fett" w:eastAsia="Calibri" w:hAnsi="Times New Roman Fett"/>
      <w:b/>
      <w:bCs/>
      <w:sz w:val="24"/>
      <w:szCs w:val="22"/>
      <w:lang w:eastAsia="en-US"/>
    </w:rPr>
  </w:style>
  <w:style w:type="paragraph" w:styleId="berschrift2">
    <w:name w:val="heading 2"/>
    <w:aliases w:val="Unterkapitel 1. Ordnung"/>
    <w:basedOn w:val="Standard"/>
    <w:next w:val="Abs1"/>
    <w:link w:val="berschrift2Zchn"/>
    <w:rsid w:val="00446A70"/>
    <w:pPr>
      <w:keepNext/>
      <w:numPr>
        <w:ilvl w:val="1"/>
        <w:numId w:val="1"/>
      </w:numPr>
      <w:suppressAutoHyphens/>
      <w:outlineLvl w:val="1"/>
    </w:pPr>
    <w:rPr>
      <w:rFonts w:ascii="Times New Roman Fett" w:eastAsia="Calibri" w:hAnsi="Times New Roman Fett"/>
      <w:b/>
      <w:iCs/>
      <w:szCs w:val="22"/>
      <w:lang w:eastAsia="en-US"/>
    </w:rPr>
  </w:style>
  <w:style w:type="paragraph" w:styleId="berschrift3">
    <w:name w:val="heading 3"/>
    <w:aliases w:val="Unterkapitel 2. Ordnung"/>
    <w:basedOn w:val="Standard"/>
    <w:next w:val="Standard"/>
    <w:link w:val="berschrift3Zchn"/>
    <w:rsid w:val="00446A70"/>
    <w:pPr>
      <w:keepNext/>
      <w:numPr>
        <w:ilvl w:val="2"/>
        <w:numId w:val="1"/>
      </w:numPr>
      <w:outlineLvl w:val="2"/>
    </w:pPr>
    <w:rPr>
      <w:rFonts w:eastAsia="Calibri"/>
      <w:i/>
      <w:szCs w:val="22"/>
      <w:lang w:eastAsia="en-US"/>
    </w:rPr>
  </w:style>
  <w:style w:type="paragraph" w:styleId="berschrift4">
    <w:name w:val="heading 4"/>
    <w:basedOn w:val="Standard"/>
    <w:next w:val="Abs1"/>
    <w:link w:val="berschrift4Zchn"/>
    <w:rsid w:val="00446A70"/>
    <w:pPr>
      <w:keepNext/>
      <w:numPr>
        <w:ilvl w:val="3"/>
        <w:numId w:val="1"/>
      </w:numPr>
      <w:suppressAutoHyphens/>
      <w:outlineLvl w:val="3"/>
    </w:pPr>
  </w:style>
  <w:style w:type="paragraph" w:styleId="berschrift5">
    <w:name w:val="heading 5"/>
    <w:basedOn w:val="Standard"/>
    <w:next w:val="Abs1"/>
    <w:link w:val="berschrift5Zchn"/>
    <w:rsid w:val="00446A70"/>
    <w:pPr>
      <w:keepNext/>
      <w:numPr>
        <w:ilvl w:val="4"/>
        <w:numId w:val="1"/>
      </w:numPr>
      <w:suppressAutoHyphens/>
      <w:outlineLvl w:val="4"/>
    </w:pPr>
  </w:style>
  <w:style w:type="paragraph" w:styleId="berschrift6">
    <w:name w:val="heading 6"/>
    <w:basedOn w:val="Standard"/>
    <w:next w:val="Standard"/>
    <w:link w:val="berschrift6Zchn"/>
    <w:rsid w:val="00446A70"/>
    <w:pPr>
      <w:keepNext/>
      <w:numPr>
        <w:ilvl w:val="5"/>
        <w:numId w:val="1"/>
      </w:numPr>
      <w:suppressAutoHyphens/>
      <w:outlineLvl w:val="5"/>
    </w:pPr>
  </w:style>
  <w:style w:type="paragraph" w:styleId="berschrift7">
    <w:name w:val="heading 7"/>
    <w:basedOn w:val="Standard"/>
    <w:next w:val="Abs1"/>
    <w:link w:val="berschrift7Zchn"/>
    <w:rsid w:val="00446A70"/>
    <w:pPr>
      <w:keepNext/>
      <w:numPr>
        <w:ilvl w:val="6"/>
        <w:numId w:val="1"/>
      </w:numPr>
      <w:suppressAutoHyphens/>
      <w:outlineLvl w:val="6"/>
    </w:pPr>
    <w:rPr>
      <w:szCs w:val="20"/>
    </w:rPr>
  </w:style>
  <w:style w:type="paragraph" w:styleId="berschrift8">
    <w:name w:val="heading 8"/>
    <w:basedOn w:val="Standard"/>
    <w:next w:val="Standard"/>
    <w:link w:val="berschrift8Zchn"/>
    <w:rsid w:val="00446A70"/>
    <w:pPr>
      <w:keepNext/>
      <w:numPr>
        <w:ilvl w:val="7"/>
        <w:numId w:val="1"/>
      </w:numPr>
      <w:suppressAutoHyphens/>
      <w:outlineLvl w:val="7"/>
    </w:pPr>
  </w:style>
  <w:style w:type="paragraph" w:styleId="berschrift9">
    <w:name w:val="heading 9"/>
    <w:basedOn w:val="Standard"/>
    <w:next w:val="Abs1"/>
    <w:link w:val="berschrift9Zchn"/>
    <w:rsid w:val="00446A70"/>
    <w:pPr>
      <w:keepNext/>
      <w:numPr>
        <w:ilvl w:val="8"/>
        <w:numId w:val="1"/>
      </w:numPr>
      <w:suppressAutoHyphens/>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Hauptteile Zchn"/>
    <w:basedOn w:val="Absatz-Standardschriftart"/>
    <w:link w:val="berschrift1"/>
    <w:rsid w:val="00446A70"/>
    <w:rPr>
      <w:rFonts w:ascii="Times New Roman Fett" w:eastAsia="Calibri" w:hAnsi="Times New Roman Fett" w:cs="Times New Roman"/>
      <w:b/>
      <w:bCs/>
      <w:sz w:val="24"/>
      <w:lang w:val="de"/>
    </w:rPr>
  </w:style>
  <w:style w:type="character" w:customStyle="1" w:styleId="berschrift2Zchn">
    <w:name w:val="Überschrift 2 Zchn"/>
    <w:aliases w:val="Unterkapitel 1. Ordnung Zchn"/>
    <w:basedOn w:val="Absatz-Standardschriftart"/>
    <w:link w:val="berschrift2"/>
    <w:rsid w:val="00446A70"/>
    <w:rPr>
      <w:rFonts w:ascii="Times New Roman Fett" w:eastAsia="Calibri" w:hAnsi="Times New Roman Fett" w:cs="Times New Roman"/>
      <w:b/>
      <w:iCs/>
      <w:lang w:val="de"/>
    </w:rPr>
  </w:style>
  <w:style w:type="character" w:customStyle="1" w:styleId="berschrift3Zchn">
    <w:name w:val="Überschrift 3 Zchn"/>
    <w:basedOn w:val="Absatz-Standardschriftart"/>
    <w:link w:val="berschrift3"/>
    <w:rsid w:val="00446A70"/>
    <w:rPr>
      <w:rFonts w:ascii="Times New Roman" w:eastAsia="Calibri" w:hAnsi="Times New Roman" w:cs="Times New Roman"/>
      <w:i/>
      <w:lang w:val="de"/>
    </w:rPr>
  </w:style>
  <w:style w:type="character" w:customStyle="1" w:styleId="berschrift4Zchn">
    <w:name w:val="Überschrift 4 Zchn"/>
    <w:basedOn w:val="Absatz-Standardschriftart"/>
    <w:link w:val="berschrift4"/>
    <w:rsid w:val="00446A70"/>
    <w:rPr>
      <w:rFonts w:ascii="Times New Roman" w:eastAsia="Times New Roman" w:hAnsi="Times New Roman" w:cs="Times New Roman"/>
      <w:szCs w:val="24"/>
      <w:lang w:val="de" w:eastAsia="de-DE"/>
    </w:rPr>
  </w:style>
  <w:style w:type="character" w:customStyle="1" w:styleId="berschrift5Zchn">
    <w:name w:val="Überschrift 5 Zchn"/>
    <w:basedOn w:val="Absatz-Standardschriftart"/>
    <w:link w:val="berschrift5"/>
    <w:rsid w:val="00446A70"/>
    <w:rPr>
      <w:rFonts w:ascii="Times New Roman" w:eastAsia="Times New Roman" w:hAnsi="Times New Roman" w:cs="Times New Roman"/>
      <w:szCs w:val="24"/>
      <w:lang w:val="de" w:eastAsia="de-DE"/>
    </w:rPr>
  </w:style>
  <w:style w:type="character" w:customStyle="1" w:styleId="berschrift6Zchn">
    <w:name w:val="Überschrift 6 Zchn"/>
    <w:basedOn w:val="Absatz-Standardschriftart"/>
    <w:link w:val="berschrift6"/>
    <w:rsid w:val="00446A70"/>
    <w:rPr>
      <w:rFonts w:ascii="Times New Roman" w:eastAsia="Times New Roman" w:hAnsi="Times New Roman" w:cs="Times New Roman"/>
      <w:szCs w:val="24"/>
      <w:lang w:val="de" w:eastAsia="de-DE"/>
    </w:rPr>
  </w:style>
  <w:style w:type="character" w:customStyle="1" w:styleId="berschrift7Zchn">
    <w:name w:val="Überschrift 7 Zchn"/>
    <w:basedOn w:val="Absatz-Standardschriftart"/>
    <w:link w:val="berschrift7"/>
    <w:rsid w:val="00446A70"/>
    <w:rPr>
      <w:rFonts w:ascii="Times New Roman" w:eastAsia="Times New Roman" w:hAnsi="Times New Roman" w:cs="Times New Roman"/>
      <w:szCs w:val="20"/>
      <w:lang w:val="de" w:eastAsia="de-DE"/>
    </w:rPr>
  </w:style>
  <w:style w:type="character" w:customStyle="1" w:styleId="berschrift8Zchn">
    <w:name w:val="Überschrift 8 Zchn"/>
    <w:basedOn w:val="Absatz-Standardschriftart"/>
    <w:link w:val="berschrift8"/>
    <w:rsid w:val="00446A70"/>
    <w:rPr>
      <w:rFonts w:ascii="Times New Roman" w:eastAsia="Times New Roman" w:hAnsi="Times New Roman" w:cs="Times New Roman"/>
      <w:szCs w:val="24"/>
      <w:lang w:val="de" w:eastAsia="de-DE"/>
    </w:rPr>
  </w:style>
  <w:style w:type="character" w:customStyle="1" w:styleId="berschrift9Zchn">
    <w:name w:val="Überschrift 9 Zchn"/>
    <w:basedOn w:val="Absatz-Standardschriftart"/>
    <w:link w:val="berschrift9"/>
    <w:rsid w:val="00446A70"/>
    <w:rPr>
      <w:rFonts w:ascii="Times New Roman" w:eastAsia="Times New Roman" w:hAnsi="Times New Roman" w:cs="Times New Roman"/>
      <w:szCs w:val="24"/>
      <w:lang w:val="de" w:eastAsia="de-DE"/>
    </w:rPr>
  </w:style>
  <w:style w:type="paragraph" w:customStyle="1" w:styleId="Abs1">
    <w:name w:val="Abs1"/>
    <w:basedOn w:val="Standard"/>
    <w:next w:val="AbsNorm"/>
    <w:rsid w:val="00446A70"/>
    <w:rPr>
      <w:rFonts w:eastAsia="Calibri"/>
      <w:szCs w:val="22"/>
      <w:lang w:eastAsia="en-US"/>
    </w:rPr>
  </w:style>
  <w:style w:type="paragraph" w:customStyle="1" w:styleId="AbsNorm">
    <w:name w:val="AbsNorm"/>
    <w:basedOn w:val="Standard"/>
    <w:rsid w:val="00446A70"/>
    <w:pPr>
      <w:ind w:firstLine="397"/>
    </w:pPr>
    <w:rPr>
      <w:rFonts w:eastAsia="Calibri"/>
      <w:szCs w:val="22"/>
      <w:lang w:eastAsia="en-US"/>
    </w:rPr>
  </w:style>
  <w:style w:type="paragraph" w:customStyle="1" w:styleId="Zitat1">
    <w:name w:val="Zitat1"/>
    <w:basedOn w:val="Standard"/>
    <w:rsid w:val="00446A70"/>
    <w:pPr>
      <w:spacing w:after="120"/>
      <w:ind w:left="851" w:right="851"/>
    </w:pPr>
  </w:style>
  <w:style w:type="paragraph" w:customStyle="1" w:styleId="AufzNum">
    <w:name w:val="AufzNum"/>
    <w:rsid w:val="00446A70"/>
    <w:pPr>
      <w:numPr>
        <w:numId w:val="2"/>
      </w:numPr>
      <w:spacing w:after="0" w:line="240" w:lineRule="auto"/>
      <w:jc w:val="both"/>
    </w:pPr>
    <w:rPr>
      <w:rFonts w:ascii="Times New Roman" w:eastAsia="Times New Roman" w:hAnsi="Times New Roman" w:cs="Times New Roman"/>
      <w:szCs w:val="20"/>
      <w:lang w:eastAsia="de-DE"/>
    </w:rPr>
  </w:style>
  <w:style w:type="paragraph" w:customStyle="1" w:styleId="AufzPunkt">
    <w:name w:val="AufzPunkt"/>
    <w:rsid w:val="00446A70"/>
    <w:pPr>
      <w:numPr>
        <w:numId w:val="3"/>
      </w:numPr>
      <w:spacing w:after="0" w:line="240" w:lineRule="auto"/>
      <w:jc w:val="both"/>
    </w:pPr>
    <w:rPr>
      <w:rFonts w:ascii="Times New Roman" w:eastAsia="Times New Roman" w:hAnsi="Times New Roman" w:cs="Times New Roman"/>
      <w:szCs w:val="20"/>
      <w:lang w:eastAsia="de-DE"/>
    </w:rPr>
  </w:style>
  <w:style w:type="paragraph" w:customStyle="1" w:styleId="Lit">
    <w:name w:val="Lit"/>
    <w:rsid w:val="00446A70"/>
    <w:pPr>
      <w:spacing w:after="0" w:line="240" w:lineRule="auto"/>
      <w:ind w:left="397" w:hanging="397"/>
      <w:jc w:val="both"/>
    </w:pPr>
    <w:rPr>
      <w:rFonts w:ascii="Times New Roman" w:eastAsia="Times New Roman" w:hAnsi="Times New Roman" w:cs="Times New Roman"/>
      <w:sz w:val="18"/>
      <w:szCs w:val="18"/>
      <w:lang w:eastAsia="de-DE"/>
    </w:rPr>
  </w:style>
  <w:style w:type="paragraph" w:styleId="Fuzeile">
    <w:name w:val="footer"/>
    <w:basedOn w:val="Standard"/>
    <w:link w:val="FuzeileZchn"/>
    <w:rsid w:val="00446A70"/>
    <w:pPr>
      <w:tabs>
        <w:tab w:val="center" w:pos="4536"/>
        <w:tab w:val="right" w:pos="9072"/>
      </w:tabs>
    </w:pPr>
  </w:style>
  <w:style w:type="character" w:customStyle="1" w:styleId="FuzeileZchn">
    <w:name w:val="Fußzeile Zchn"/>
    <w:basedOn w:val="Absatz-Standardschriftart"/>
    <w:link w:val="Fuzeile"/>
    <w:rsid w:val="00446A70"/>
    <w:rPr>
      <w:rFonts w:ascii="Times New Roman" w:eastAsia="Times New Roman" w:hAnsi="Times New Roman" w:cs="Times New Roman"/>
      <w:szCs w:val="24"/>
      <w:lang w:val="de" w:eastAsia="de-DE"/>
    </w:rPr>
  </w:style>
  <w:style w:type="paragraph" w:customStyle="1" w:styleId="FormatvorlageBAutorZentriert">
    <w:name w:val="Formatvorlage ÜBAutor + Zentriert"/>
    <w:basedOn w:val="Standard"/>
    <w:rsid w:val="00446A70"/>
    <w:pPr>
      <w:keepNext/>
      <w:jc w:val="center"/>
    </w:pPr>
    <w:rPr>
      <w:i/>
      <w:iCs/>
      <w:szCs w:val="20"/>
      <w:lang w:val="de-DE"/>
    </w:rPr>
  </w:style>
  <w:style w:type="paragraph" w:customStyle="1" w:styleId="FormatvorlageBBeitragZentriert">
    <w:name w:val="Formatvorlage ÜBBeitrag + Zentriert"/>
    <w:basedOn w:val="Standard"/>
    <w:rsid w:val="00446A70"/>
    <w:pPr>
      <w:pageBreakBefore/>
      <w:suppressAutoHyphens/>
      <w:jc w:val="center"/>
    </w:pPr>
    <w:rPr>
      <w:rFonts w:ascii="Times New Roman Fett" w:hAnsi="Times New Roman Fett"/>
      <w:b/>
      <w:bCs/>
      <w:sz w:val="24"/>
      <w:szCs w:val="20"/>
      <w:lang w:val="de-DE"/>
    </w:rPr>
  </w:style>
  <w:style w:type="paragraph" w:customStyle="1" w:styleId="address">
    <w:name w:val="address"/>
    <w:basedOn w:val="Standard"/>
    <w:rsid w:val="00446A70"/>
    <w:pPr>
      <w:overflowPunct w:val="0"/>
      <w:autoSpaceDE w:val="0"/>
      <w:autoSpaceDN w:val="0"/>
      <w:adjustRightInd w:val="0"/>
      <w:spacing w:after="200" w:line="220" w:lineRule="atLeast"/>
      <w:contextualSpacing/>
      <w:jc w:val="center"/>
      <w:textAlignment w:val="baseline"/>
    </w:pPr>
    <w:rPr>
      <w:sz w:val="18"/>
      <w:szCs w:val="20"/>
      <w:lang w:val="en-US" w:eastAsia="en-US"/>
    </w:rPr>
  </w:style>
  <w:style w:type="character" w:customStyle="1" w:styleId="e-mail">
    <w:name w:val="e-mail"/>
    <w:basedOn w:val="Absatz-Standardschriftart"/>
    <w:rsid w:val="00446A70"/>
    <w:rPr>
      <w:rFonts w:ascii="Courier" w:hAnsi="Courie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4028</Words>
  <Characters>28923</Characters>
  <Application>Microsoft Office Word</Application>
  <DocSecurity>0</DocSecurity>
  <Lines>401</Lines>
  <Paragraphs>106</Paragraphs>
  <ScaleCrop>false</ScaleCrop>
  <Company>Hochschule Ostwestfalen Lippe</Company>
  <LinksUpToDate>false</LinksUpToDate>
  <CharactersWithSpaces>32845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Tobias Schmohl</dc:creator>
  <cp:keywords/>
  <dc:description/>
  <cp:lastModifiedBy>Tobias Schmohl</cp:lastModifiedBy>
  <cp:revision>2</cp:revision>
  <dcterms:created xsi:type="dcterms:W3CDTF">2021-11-30T21:04:00Z</dcterms:created>
  <dcterms:modified xsi:type="dcterms:W3CDTF">2021-11-30T21:05:00Z</dcterms:modified>
</cp:coreProperties>
</file>